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Calibri" w:cs="Calibri" w:eastAsia="Calibri" w:hAnsi="Calibri"/>
          <w:b/>
          <w:bCs/>
          <w:color w:val="1F4E79"/>
          <w:sz w:val="72"/>
          <w:szCs w:val="72"/>
        </w:rPr>
        <w:t xml:space="preserve">FINRLX</w:t>
      </w:r>
    </w:p>
    <w:p>
      <w:pPr>
        <w:spacing w:after="60"/>
        <w:jc w:val="center"/>
      </w:pPr>
      <w:r>
        <w:rPr>
          <w:rFonts w:ascii="Calibri" w:cs="Calibri" w:eastAsia="Calibri" w:hAnsi="Calibri"/>
          <w:b/>
          <w:bCs/>
          <w:color w:val="1A2332"/>
          <w:sz w:val="44"/>
          <w:szCs w:val="44"/>
        </w:rPr>
        <w:t xml:space="preserve">THE UNIFIED RESEARCH DESK</w:t>
      </w:r>
    </w:p>
    <w:p>
      <w:pPr>
        <w:spacing w:after="500"/>
        <w:jc w:val="center"/>
      </w:pPr>
      <w:r>
        <w:rPr>
          <w:rFonts w:ascii="Calibri" w:cs="Calibri" w:eastAsia="Calibri" w:hAnsi="Calibri"/>
          <w:color w:val="5A6472"/>
          <w:sz w:val="28"/>
          <w:szCs w:val="28"/>
        </w:rPr>
        <w:t xml:space="preserve">Market Research, Capability Assessment &amp; UX/UI Design Specification</w:t>
      </w:r>
    </w:p>
    <w:p>
      <w:pPr>
        <w:spacing w:after="900"/>
        <w:jc w:val="center"/>
      </w:pPr>
      <w:r>
        <w:rPr>
          <w:rFonts w:ascii="Calibri" w:cs="Calibri" w:eastAsia="Calibri" w:hAnsi="Calibri"/>
          <w:i/>
          <w:iCs/>
          <w:color w:val="0E7C7B"/>
          <w:sz w:val="24"/>
          <w:szCs w:val="24"/>
        </w:rPr>
        <w:t xml:space="preserve">One ticker in. A complete, evidence-backed research desk out.</w:t>
      </w:r>
    </w:p>
    <w:p>
      <w:pPr>
        <w:spacing w:after="60"/>
        <w:jc w:val="center"/>
      </w:pPr>
      <w:r>
        <w:rPr>
          <w:rFonts w:ascii="Calibri" w:cs="Calibri" w:eastAsia="Calibri" w:hAnsi="Calibri"/>
          <w:color w:val="1A2332"/>
          <w:sz w:val="22"/>
          <w:szCs w:val="22"/>
        </w:rPr>
        <w:t xml:space="preserve">Program LEAP — Track B: “Operation One Desk”</w:t>
      </w:r>
    </w:p>
    <w:p>
      <w:pPr>
        <w:spacing w:after="60"/>
        <w:jc w:val="center"/>
      </w:pPr>
      <w:r>
        <w:rPr>
          <w:rFonts w:ascii="Calibri" w:cs="Calibri" w:eastAsia="Calibri" w:hAnsi="Calibri"/>
          <w:color w:val="1A2332"/>
          <w:sz w:val="22"/>
          <w:szCs w:val="22"/>
        </w:rPr>
        <w:t xml:space="preserve">Prepared by the FINRLX Multi-Agent Research Program</w:t>
      </w:r>
    </w:p>
    <w:p>
      <w:pPr>
        <w:spacing w:after="60"/>
        <w:jc w:val="center"/>
      </w:pPr>
      <w:r>
        <w:rPr>
          <w:rFonts w:ascii="Calibri" w:cs="Calibri" w:eastAsia="Calibri" w:hAnsi="Calibri"/>
          <w:color w:val="1A2332"/>
          <w:sz w:val="22"/>
          <w:szCs w:val="22"/>
        </w:rPr>
        <w:t xml:space="preserve">Reviewed and certified by the Program Council (5 verdicts attached, §8)</w:t>
      </w:r>
    </w:p>
    <w:p>
      <w:pPr>
        <w:spacing w:after="0"/>
        <w:jc w:val="center"/>
      </w:pPr>
      <w:r>
        <w:rPr>
          <w:rFonts w:ascii="Calibri" w:cs="Calibri" w:eastAsia="Calibri" w:hAnsi="Calibri"/>
          <w:color w:val="8A93A0"/>
          <w:sz w:val="20"/>
          <w:szCs w:val="20"/>
        </w:rPr>
        <w:t xml:space="preserve">July 7, 2026 · Version 1.0 · CONFIDENTIAL</w:t>
      </w:r>
    </w:p>
    <w:p>
      <w:r>
        <w:br w:type="page"/>
      </w:r>
    </w:p>
    <w:p>
      <w:pPr>
        <w:spacing w:after="240"/>
      </w:pPr>
      <w:r>
        <w:rPr>
          <w:rFonts w:ascii="Calibri" w:cs="Calibri" w:eastAsia="Calibri" w:hAnsi="Calibri"/>
          <w:b/>
          <w:bCs/>
          <w:color w:val="1F4E79"/>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Document Control &amp; Engagement Methodology</w:t>
      </w:r>
    </w:p>
    <w:p>
      <w:pPr>
        <w:pStyle w:val="Heading3"/>
        <w:spacing w:after="120" w:before="220"/>
      </w:pPr>
      <w:r>
        <w:rPr>
          <w:rFonts w:ascii="Calibri" w:cs="Calibri" w:eastAsia="Calibri" w:hAnsi="Calibri"/>
          <w:b/>
          <w:bCs/>
          <w:color w:val="0E7C7B"/>
          <w:sz w:val="23"/>
          <w:szCs w:val="23"/>
        </w:rPr>
        <w:t xml:space="preserve">Document control</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2600"/>
        <w:gridCol w:w="6760"/>
      </w:tblGrid>
      <w:tr>
        <w:trPr>
          <w:tblHeader/>
        </w:trPr>
        <w:tc>
          <w:tcPr>
            <w:tcW w:type="dxa" w:w="26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Field</w:t>
            </w:r>
          </w:p>
        </w:tc>
        <w:tc>
          <w:tcPr>
            <w:tcW w:type="dxa" w:w="67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Value</w:t>
            </w:r>
          </w:p>
        </w:tc>
      </w:tr>
      <w:tr>
        <w:tc>
          <w:tcPr>
            <w:tcW w:type="dxa" w:w="2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Title</w:t>
            </w:r>
          </w:p>
        </w:tc>
        <w:tc>
          <w:tcPr>
            <w:tcW w:type="dxa" w:w="67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FINRLX — The Unified Research Desk: Market Research, Capability Assessment &amp; UX/UI Design Specification</w:t>
            </w:r>
          </w:p>
        </w:tc>
      </w:tr>
      <w:tr>
        <w:tc>
          <w:tcPr>
            <w:tcW w:type="dxa" w:w="2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Version / Status</w:t>
            </w:r>
          </w:p>
        </w:tc>
        <w:tc>
          <w:tcPr>
            <w:tcW w:type="dxa" w:w="67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1.0 — Council-certified (4 PASS, 1 PASS-with-conditions; all conditions resolved, §8)</w:t>
            </w:r>
          </w:p>
        </w:tc>
      </w:tr>
      <w:tr>
        <w:tc>
          <w:tcPr>
            <w:tcW w:type="dxa" w:w="2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Date</w:t>
            </w:r>
          </w:p>
        </w:tc>
        <w:tc>
          <w:tcPr>
            <w:tcW w:type="dxa" w:w="67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2026-07-07</w:t>
            </w:r>
          </w:p>
        </w:tc>
      </w:tr>
      <w:tr>
        <w:tc>
          <w:tcPr>
            <w:tcW w:type="dxa" w:w="2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Classification</w:t>
            </w:r>
          </w:p>
        </w:tc>
        <w:tc>
          <w:tcPr>
            <w:tcW w:type="dxa" w:w="67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Confidential — Operator distribution only</w:t>
            </w:r>
          </w:p>
        </w:tc>
      </w:tr>
      <w:tr>
        <w:tc>
          <w:tcPr>
            <w:tcW w:type="dxa" w:w="2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Repository anchor</w:t>
            </w:r>
          </w:p>
        </w:tc>
        <w:tc>
          <w:tcPr>
            <w:tcW w:type="dxa" w:w="67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rotemyoeli/FINRLX @ main (cbea0fa); evidence citations reference file paths at this commit</w:t>
            </w:r>
          </w:p>
        </w:tc>
      </w:tr>
      <w:tr>
        <w:tc>
          <w:tcPr>
            <w:tcW w:type="dxa" w:w="2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Supersedes / relates to</w:t>
            </w:r>
          </w:p>
        </w:tc>
        <w:tc>
          <w:tcPr>
            <w:tcW w:type="dxa" w:w="67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Extends ANALYST_DESK_RESEARCH_REPORT_2026-07-06 and CREDIBILITY_AUDIT_2026-07-07; consistent with Plan v4.0 and the Operation Credibility feature freeze</w:t>
            </w:r>
          </w:p>
        </w:tc>
      </w:tr>
    </w:tbl>
    <w:p>
      <w:pPr>
        <w:spacing w:after="160"/>
      </w:pPr>
    </w:p>
    <w:p>
      <w:pPr>
        <w:pStyle w:val="Heading3"/>
        <w:spacing w:after="120" w:before="220"/>
      </w:pPr>
      <w:r>
        <w:rPr>
          <w:rFonts w:ascii="Calibri" w:cs="Calibri" w:eastAsia="Calibri" w:hAnsi="Calibri"/>
          <w:b/>
          <w:bCs/>
          <w:color w:val="0E7C7B"/>
          <w:sz w:val="23"/>
          <w:szCs w:val="23"/>
        </w:rPr>
        <w:t xml:space="preserve">Engagement methodology — the research team</w:t>
      </w:r>
    </w:p>
    <w:p>
      <w:pPr>
        <w:spacing w:after="160" w:before="0" w:line="276"/>
        <w:jc w:val="both"/>
      </w:pPr>
      <w:r>
        <w:rPr>
          <w:rFonts w:ascii="Calibri" w:cs="Calibri" w:eastAsia="Calibri" w:hAnsi="Calibri"/>
          <w:b w:val="false"/>
          <w:bCs w:val="false"/>
          <w:i w:val="false"/>
          <w:iCs w:val="false"/>
          <w:color w:val="1A2332"/>
          <w:sz w:val="22"/>
          <w:szCs w:val="22"/>
        </w:rPr>
        <w:t xml:space="preserve">This report was produced by a structured multi-agent research program modeled on a management-consulting engagement: parallel research workstreams, a synthesis lead, and an independent review council with veto power over claims. Each workstream owned a distinct evidence base and deliverable; no claim entered the final document without a named source (external URL or repository file path) that the reader can verify independently.</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2200"/>
        <w:gridCol w:w="3800"/>
        <w:gridCol w:w="3360"/>
      </w:tblGrid>
      <w:tr>
        <w:trPr>
          <w:tblHeader/>
        </w:trPr>
        <w:tc>
          <w:tcPr>
            <w:tcW w:type="dxa" w:w="22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Workstream agent</w:t>
            </w:r>
          </w:p>
        </w:tc>
        <w:tc>
          <w:tcPr>
            <w:tcW w:type="dxa" w:w="38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Charter</w:t>
            </w:r>
          </w:p>
        </w:tc>
        <w:tc>
          <w:tcPr>
            <w:tcW w:type="dxa" w:w="33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Evidence base</w:t>
            </w:r>
          </w:p>
        </w:tc>
      </w:tr>
      <w:tr>
        <w:tc>
          <w:tcPr>
            <w:tcW w:type="dxa" w:w="2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Market Intelligence Analyst</w:t>
            </w:r>
          </w:p>
        </w:tc>
        <w:tc>
          <w:tcPr>
            <w:tcW w:type="dxa" w:w="38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Landscape of professional investment research &amp; analytics tools; verified pricing; feature decomposition of category leaders</w:t>
            </w:r>
          </w:p>
        </w:tc>
        <w:tc>
          <w:tcPr>
            <w:tcW w:type="dxa" w:w="33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Live web research, July 2026: vendor pricing pages, Wikipedia, verified pricing aggregators, independent 2026 reviews (full register, Appendix A)</w:t>
            </w:r>
          </w:p>
        </w:tc>
      </w:tr>
      <w:tr>
        <w:tc>
          <w:tcPr>
            <w:tcW w:type="dxa" w:w="2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Platform Archaeologist</w:t>
            </w:r>
          </w:p>
        </w:tc>
        <w:tc>
          <w:tcPr>
            <w:tcW w:type="dxa" w:w="38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Ground-truth inventory of every engine actually implemented in the FINRLX codebase; maturity grading (Production / Contract-ready / Stub)</w:t>
            </w:r>
          </w:p>
        </w:tc>
        <w:tc>
          <w:tcPr>
            <w:tcW w:type="dxa" w:w="33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Direct code inspection of rotemyoeli/FINRLX @ cbea0fa: 207 backend modules, 110 test suites (1,308+ passing), phase reports</w:t>
            </w:r>
          </w:p>
        </w:tc>
      </w:tr>
      <w:tr>
        <w:tc>
          <w:tcPr>
            <w:tcW w:type="dxa" w:w="2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Quantitative Methods Researcher</w:t>
            </w:r>
          </w:p>
        </w:tc>
        <w:tc>
          <w:tcPr>
            <w:tcW w:type="dxa" w:w="38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Validity of the model-tournament design, overfitting guards, RL evaluation protocol; separation of backtest claims from live claims</w:t>
            </w:r>
          </w:p>
        </w:tc>
        <w:tc>
          <w:tcPr>
            <w:tcW w:type="dxa" w:w="33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FinRL literature (NeurIPS 2020), repository tournament code (D35/D36), competitor methodology disclosures</w:t>
            </w:r>
          </w:p>
        </w:tc>
      </w:tr>
      <w:tr>
        <w:tc>
          <w:tcPr>
            <w:tcW w:type="dxa" w:w="2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UX Research &amp; Design Lead</w:t>
            </w:r>
          </w:p>
        </w:tc>
        <w:tc>
          <w:tcPr>
            <w:tcW w:type="dxa" w:w="38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Persona definition, information architecture, screen-level design of the Unified Research Desk; interaction and honesty patterns</w:t>
            </w:r>
          </w:p>
        </w:tc>
        <w:tc>
          <w:tcPr>
            <w:tcW w:type="dxa" w:w="33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NN/g progressive-disclosure guidance, benchmark UI decomposition (Danelfin, TrendSpider, Koyfin, AlphaSense), internal Phase-0 UX audits</w:t>
            </w:r>
          </w:p>
        </w:tc>
      </w:tr>
      <w:tr>
        <w:tc>
          <w:tcPr>
            <w:tcW w:type="dxa" w:w="2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Synthesis Lead (Orchestrator)</w:t>
            </w:r>
          </w:p>
        </w:tc>
        <w:tc>
          <w:tcPr>
            <w:tcW w:type="dxa" w:w="38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Integration, gap analysis, requirements, roadmap; resolution of council findings</w:t>
            </w:r>
          </w:p>
        </w:tc>
        <w:tc>
          <w:tcPr>
            <w:tcW w:type="dxa" w:w="33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All of the above</w:t>
            </w:r>
          </w:p>
        </w:tc>
      </w:tr>
    </w:tbl>
    <w:p>
      <w:pPr>
        <w:spacing w:after="160"/>
      </w:pPr>
    </w:p>
    <w:p>
      <w:pPr>
        <w:pStyle w:val="Heading3"/>
        <w:spacing w:after="120" w:before="220"/>
      </w:pPr>
      <w:r>
        <w:rPr>
          <w:rFonts w:ascii="Calibri" w:cs="Calibri" w:eastAsia="Calibri" w:hAnsi="Calibri"/>
          <w:b/>
          <w:bCs/>
          <w:color w:val="0E7C7B"/>
          <w:sz w:val="23"/>
          <w:szCs w:val="23"/>
        </w:rPr>
        <w:t xml:space="preserve">The review council</w:t>
      </w:r>
    </w:p>
    <w:p>
      <w:pPr>
        <w:spacing w:after="160" w:before="0" w:line="276"/>
        <w:jc w:val="both"/>
      </w:pPr>
      <w:r>
        <w:rPr>
          <w:rFonts w:ascii="Calibri" w:cs="Calibri" w:eastAsia="Calibri" w:hAnsi="Calibri"/>
          <w:b w:val="false"/>
          <w:bCs w:val="false"/>
          <w:i w:val="false"/>
          <w:iCs w:val="false"/>
          <w:color w:val="1A2332"/>
          <w:sz w:val="22"/>
          <w:szCs w:val="22"/>
        </w:rPr>
        <w:t xml:space="preserve">Five council roles reviewed the assembled draft against objective checklists. Verdicts are reproduced verbatim in §8; two findings forced material changes to this document before certification (both are disclosed in §8). The council includes the four standing Program-LEAP roles plus one new role created in direct response to root cause RC4 of the 2026-07-07 Credibility Audit (“engineering without design authority”):</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Quant Skeptic</w:t>
      </w:r>
      <w:r>
        <w:rPr>
          <w:rFonts w:ascii="Calibri" w:cs="Calibri" w:eastAsia="Calibri" w:hAnsi="Calibri"/>
          <w:b w:val="false"/>
          <w:bCs w:val="false"/>
          <w:i w:val="false"/>
          <w:iCs w:val="false"/>
          <w:color w:val="1A2332"/>
          <w:sz w:val="22"/>
          <w:szCs w:val="22"/>
        </w:rPr>
        <w:t xml:space="preserve"> — attacks statistical validity: leakage, look-ahead bias, overfitting-guard correctness, and the labeling of every performance number as backtest vs. live.</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UX Critic</w:t>
      </w:r>
      <w:r>
        <w:rPr>
          <w:rFonts w:ascii="Calibri" w:cs="Calibri" w:eastAsia="Calibri" w:hAnsi="Calibri"/>
          <w:b w:val="false"/>
          <w:bCs w:val="false"/>
          <w:i w:val="false"/>
          <w:iCs w:val="false"/>
          <w:color w:val="1A2332"/>
          <w:sz w:val="22"/>
          <w:szCs w:val="22"/>
        </w:rPr>
        <w:t xml:space="preserve"> — attacks intuitiveness: can the target persona reach a defensible insight with zero instruction; density, readability, empty/loading/error states.</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Truthfulness Auditor</w:t>
      </w:r>
      <w:r>
        <w:rPr>
          <w:rFonts w:ascii="Calibri" w:cs="Calibri" w:eastAsia="Calibri" w:hAnsi="Calibri"/>
          <w:b w:val="false"/>
          <w:bCs w:val="false"/>
          <w:i w:val="false"/>
          <w:iCs w:val="false"/>
          <w:color w:val="1A2332"/>
          <w:sz w:val="22"/>
          <w:szCs w:val="22"/>
        </w:rPr>
        <w:t xml:space="preserve"> — attacks claims: every number must trace to a source; no synthetic series; no advice verbs; honest degradation everywhere.</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Security / Ops Reviewer</w:t>
      </w:r>
      <w:r>
        <w:rPr>
          <w:rFonts w:ascii="Calibri" w:cs="Calibri" w:eastAsia="Calibri" w:hAnsi="Calibri"/>
          <w:b w:val="false"/>
          <w:bCs w:val="false"/>
          <w:i w:val="false"/>
          <w:iCs w:val="false"/>
          <w:color w:val="1A2332"/>
          <w:sz w:val="22"/>
          <w:szCs w:val="22"/>
        </w:rPr>
        <w:t xml:space="preserve"> — attacks robustness: hostile ticker input, provider-chain failure modes, key handling, budget exhaustion, job-queue behavior.</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Design Authority (new)</w:t>
      </w:r>
      <w:r>
        <w:rPr>
          <w:rFonts w:ascii="Calibri" w:cs="Calibri" w:eastAsia="Calibri" w:hAnsi="Calibri"/>
          <w:b w:val="false"/>
          <w:bCs w:val="false"/>
          <w:i w:val="false"/>
          <w:iCs w:val="false"/>
          <w:color w:val="1A2332"/>
          <w:sz w:val="22"/>
          <w:szCs w:val="22"/>
        </w:rPr>
        <w:t xml:space="preserve"> — owns pixels, not markup: reference standards, typographic scale, chart-first composition, and the screenshot-before-merge gate. Created per Credibility Audit RC4.</w:t>
      </w:r>
    </w:p>
    <w:p>
      <w:pPr>
        <w:spacing w:after="160"/>
      </w:pPr>
    </w:p>
    <w:tbl>
      <w:tblPr>
        <w:tblW w:type="dxa" w:w="9360"/>
        <w:tblBorders>
          <w:top w:val="single" w:color="0E7C7B" w:sz="6"/>
          <w:left w:val="single" w:color="0E7C7B" w:sz="12"/>
          <w:bottom w:val="single" w:color="0E7C7B" w:sz="6"/>
          <w:right w:val="single" w:color="0E7C7B" w:sz="6"/>
          <w:insideH w:val="single" w:color="auto" w:sz="4"/>
          <w:insideV w:val="single" w:color="auto" w:sz="4"/>
        </w:tblBorders>
      </w:tblPr>
      <w:tblGrid>
        <w:gridCol w:w="9360"/>
      </w:tblGrid>
      <w:tr>
        <w:tc>
          <w:tcPr>
            <w:tcW w:type="dxa" w:w="9360"/>
            <w:shd w:fill="EAF5EF" w:val="clear"/>
            <w:tcMar>
              <w:top w:type="dxa" w:w="120"/>
              <w:left w:type="dxa" w:w="160"/>
              <w:bottom w:type="dxa" w:w="120"/>
              <w:right w:type="dxa" w:w="160"/>
            </w:tcMar>
          </w:tcPr>
          <w:p>
            <w:pPr>
              <w:spacing w:after="80"/>
            </w:pPr>
            <w:r>
              <w:rPr>
                <w:rFonts w:ascii="Calibri" w:cs="Calibri" w:eastAsia="Calibri" w:hAnsi="Calibri"/>
                <w:b/>
                <w:bCs/>
                <w:i w:val="false"/>
                <w:iCs w:val="false"/>
                <w:color w:val="1F4E79"/>
                <w:sz w:val="21"/>
                <w:szCs w:val="21"/>
              </w:rPr>
              <w:t xml:space="preserve">Evidence standard (binding)</w:t>
            </w:r>
          </w:p>
          <w:p>
            <w:pPr>
              <w:spacing w:after="0"/>
              <w:jc w:val="both"/>
            </w:pPr>
            <w:r>
              <w:rPr>
                <w:rFonts w:ascii="Calibri" w:cs="Calibri" w:eastAsia="Calibri" w:hAnsi="Calibri"/>
                <w:b w:val="false"/>
                <w:bCs w:val="false"/>
                <w:i w:val="false"/>
                <w:iCs w:val="false"/>
                <w:color w:val="1A2332"/>
                <w:sz w:val="20"/>
                <w:szCs w:val="20"/>
              </w:rPr>
              <w:t xml:space="preserve">Every external market claim in §2 carries a source in Appendix A that was retrieved and read during this engagement (July 2026). Every internal capability claim in §3 carries a repository file path or test-suite name at commit cbea0fa. Claims that could not be verified to this standard were removed by the Truthfulness Auditor and are listed, with reasons, in §8.3. Competitor performance figures (e.g., win rates) are reproduced only with the explicit label the vendor itself uses — and where independent reviewers note those figures are backtested rather than live, that caveat is reproduced alongside.</w:t>
            </w:r>
          </w:p>
        </w:tc>
      </w:tr>
    </w:tbl>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1. Executive Summary</w:t>
      </w:r>
    </w:p>
    <w:p>
      <w:pPr>
        <w:spacing w:after="160" w:before="0" w:line="276"/>
        <w:jc w:val="both"/>
      </w:pPr>
      <w:r>
        <w:rPr>
          <w:rFonts w:ascii="Calibri" w:cs="Calibri" w:eastAsia="Calibri" w:hAnsi="Calibri"/>
          <w:b/>
          <w:bCs/>
          <w:i w:val="false"/>
          <w:iCs w:val="false"/>
          <w:color w:val="1A2332"/>
          <w:sz w:val="22"/>
          <w:szCs w:val="22"/>
        </w:rPr>
        <w:t xml:space="preserve">The assignment. </w:t>
      </w:r>
      <w:r>
        <w:rPr>
          <w:rFonts w:ascii="Calibri" w:cs="Calibri" w:eastAsia="Calibri" w:hAnsi="Calibri"/>
          <w:b w:val="false"/>
          <w:bCs w:val="false"/>
          <w:i w:val="false"/>
          <w:iCs w:val="false"/>
          <w:color w:val="1A2332"/>
          <w:sz w:val="22"/>
          <w:szCs w:val="22"/>
        </w:rPr>
        <w:t xml:space="preserve">FINRLX contains an unusually deep technology stack — a governed decision pipeline, a model tournament spanning heuristics, machine learning and shadow reinforcement learning, dual-lane sentiment analysis, XBRL fundamentals, filings intelligence, and a provenance layer that stamps every number — but the deployed interface exposes only a fraction of it, and exposes it poorly. The operator’s brief: research the world’s leading investment-research tools, characterize what FINRLX actually has, and design one central working screen that gives a professional investor — expert in equities, not in technology — the full power of the platform, with all machinery running in the background.</w:t>
      </w:r>
    </w:p>
    <w:p>
      <w:pPr>
        <w:pStyle w:val="Heading3"/>
        <w:spacing w:after="120" w:before="220"/>
      </w:pPr>
      <w:r>
        <w:rPr>
          <w:rFonts w:ascii="Calibri" w:cs="Calibri" w:eastAsia="Calibri" w:hAnsi="Calibri"/>
          <w:b/>
          <w:bCs/>
          <w:color w:val="0E7C7B"/>
          <w:sz w:val="23"/>
          <w:szCs w:val="23"/>
        </w:rPr>
        <w:t xml:space="preserve">Finding 1 — The market has no single product that does this. The category is fragmented into six tools.</w:t>
      </w:r>
    </w:p>
    <w:p>
      <w:pPr>
        <w:spacing w:after="160" w:before="0" w:line="276"/>
        <w:jc w:val="both"/>
      </w:pPr>
      <w:r>
        <w:rPr>
          <w:rFonts w:ascii="Calibri" w:cs="Calibri" w:eastAsia="Calibri" w:hAnsi="Calibri"/>
          <w:b w:val="false"/>
          <w:bCs w:val="false"/>
          <w:i w:val="false"/>
          <w:iCs w:val="false"/>
          <w:color w:val="1A2332"/>
          <w:sz w:val="22"/>
          <w:szCs w:val="22"/>
        </w:rPr>
        <w:t xml:space="preserve">A professional investor in 2026 who wants automatic technical-indicator discovery, per-stock model selection, news and forum intelligence, social-network sentiment, financial-statement analysis, and sector context must assemble a stack. The evidence (full analysis §2): Bloomberg Terminal delivers breadth at $31,980/year but no automatic per-stock model tournament; Danelfin delivers explainable AI scoring but no charting workspace or document intelligence; TrendSpider delivers technical automation and no-code ML but no fundamentals depth or governance; AlphaSense delivers document and transcript intelligence at $15,000–$40,000+/seat but no quantitative signal engine; AltIndex delivers social/alternative data but no validation machinery; Trade Ideas delivers real-time AI scanning for day traders but nothing for research-driven investors. Replacing the relevant slice of this stack costs a professional between roughly $150 and $700 per month before institutional tools — and still leaves the integration work, and the trust problem, to the human.</w:t>
      </w:r>
    </w:p>
    <w:p>
      <w:pPr>
        <w:pStyle w:val="Heading3"/>
        <w:spacing w:after="120" w:before="220"/>
      </w:pPr>
      <w:r>
        <w:rPr>
          <w:rFonts w:ascii="Calibri" w:cs="Calibri" w:eastAsia="Calibri" w:hAnsi="Calibri"/>
          <w:b/>
          <w:bCs/>
          <w:color w:val="0E7C7B"/>
          <w:sz w:val="23"/>
          <w:szCs w:val="23"/>
        </w:rPr>
        <w:t xml:space="preserve">Finding 2 — The market’s open wound is trust, and FINRLX’s architecture is aimed at exactly that wound.</w:t>
      </w:r>
    </w:p>
    <w:p>
      <w:pPr>
        <w:spacing w:after="160" w:before="0" w:line="276"/>
        <w:jc w:val="both"/>
      </w:pPr>
      <w:r>
        <w:rPr>
          <w:rFonts w:ascii="Calibri" w:cs="Calibri" w:eastAsia="Calibri" w:hAnsi="Calibri"/>
          <w:b w:val="false"/>
          <w:bCs w:val="false"/>
          <w:i w:val="false"/>
          <w:iCs w:val="false"/>
          <w:color w:val="1A2332"/>
          <w:sz w:val="22"/>
          <w:szCs w:val="22"/>
        </w:rPr>
        <w:t xml:space="preserve">Per the March-2026 Investing.com survey of 938 US investors (analyzed in the internal Credibility Audit): 62% already use AI in investment decisions, yet 54% trust AI output only “somewhat” and verify it elsewhere, and the single most-cited fear (38.9%) is incorrect or misleading AI recommendations. Regulators (OSC 2026) name black-box opacity as the sector’s structural risk. Competitors answer with marketing (“explainable AI” as a slogan); FINRLX answers with machinery: walk-forward validation on every model choice, deflated-Sharpe overfitting penalties, evidence links behind every number, and a provenance stamp on every price. The design problem is that none of this is currently visible at the moment of judgment — the first ten seconds on the main screen.</w:t>
      </w:r>
    </w:p>
    <w:p>
      <w:pPr>
        <w:pStyle w:val="Heading3"/>
        <w:spacing w:after="120" w:before="220"/>
      </w:pPr>
      <w:r>
        <w:rPr>
          <w:rFonts w:ascii="Calibri" w:cs="Calibri" w:eastAsia="Calibri" w:hAnsi="Calibri"/>
          <w:b/>
          <w:bCs/>
          <w:color w:val="0E7C7B"/>
          <w:sz w:val="23"/>
          <w:szCs w:val="23"/>
        </w:rPr>
        <w:t xml:space="preserve">Finding 3 — FINRLX already implements, in production code, most of what the brief demands.</w:t>
      </w:r>
    </w:p>
    <w:p>
      <w:pPr>
        <w:spacing w:after="160" w:before="0" w:line="276"/>
        <w:jc w:val="both"/>
      </w:pPr>
      <w:r>
        <w:rPr>
          <w:rFonts w:ascii="Calibri" w:cs="Calibri" w:eastAsia="Calibri" w:hAnsi="Calibri"/>
          <w:b w:val="false"/>
          <w:bCs w:val="false"/>
          <w:i w:val="false"/>
          <w:iCs w:val="false"/>
          <w:color w:val="1A2332"/>
          <w:sz w:val="22"/>
          <w:szCs w:val="22"/>
        </w:rPr>
        <w:t xml:space="preserve">The Platform Archaeologist’s inventory (§3) grades 14 engine families. Eleven are production-grade with passing test suites today, including: the autopilot research pipeline (ticker → ingest → enrich → features → tournament → dossier), the model tournament with overfitting guards, the ML return forecaster (regularized gradient boosting, leakage-tested), the full technical-indicator vocabulary, dual-lane sentiment (news + social with divergence detection), SEC XBRL fundamental trends, insider-activity signals, regime detection with band series, and the one-price-truth data layer hardened in the current Operation Credibility. Two families are contract-ready and awaiting operator-gated compute (real FinRL PPO/A2C ensemble legs and the FinGPT lane, both blocked only on the E7 research worker). One family is deliberately out of production scope by governance design (live RL promotion into recommendations — correctly so). The gap is therefore not capability. It is exposure.</w:t>
      </w:r>
    </w:p>
    <w:p>
      <w:pPr>
        <w:pStyle w:val="Heading3"/>
        <w:spacing w:after="120" w:before="220"/>
      </w:pPr>
      <w:r>
        <w:rPr>
          <w:rFonts w:ascii="Calibri" w:cs="Calibri" w:eastAsia="Calibri" w:hAnsi="Calibri"/>
          <w:b/>
          <w:bCs/>
          <w:color w:val="0E7C7B"/>
          <w:sz w:val="23"/>
          <w:szCs w:val="23"/>
        </w:rPr>
        <w:t xml:space="preserve">Finding 4 — The design answer is one screen with three altitudes, not twenty-five routes.</w:t>
      </w:r>
    </w:p>
    <w:p>
      <w:pPr>
        <w:spacing w:after="160" w:before="0" w:line="276"/>
        <w:jc w:val="both"/>
      </w:pPr>
      <w:r>
        <w:rPr>
          <w:rFonts w:ascii="Calibri" w:cs="Calibri" w:eastAsia="Calibri" w:hAnsi="Calibri"/>
          <w:b w:val="false"/>
          <w:bCs w:val="false"/>
          <w:i w:val="false"/>
          <w:iCs w:val="false"/>
          <w:color w:val="1A2332"/>
          <w:sz w:val="22"/>
          <w:szCs w:val="22"/>
        </w:rPr>
        <w:t xml:space="preserve">Section §5 specifies “The Desk”: a single dynamic working screen built on the progressive-disclosure principle (Nielsen/NN⁄g): show the essential first, reveal depth on demand, never exceed two disclosure levels. Altitude 1 is the Verdict Layer — a chart-first header with a composite research stance, six capability dials, and freshness stamps, readable in ten seconds. Altitude 2 is the Evidence Layer — six streamed panels (Technical, Model Tournament, News &amp; Sentiment, Social Pulse, Fundamentals, Sector Context), each answering “what, why, since when.” Altitude 3 is the Forensic Layer — drawers that open the full machinery: tournament scoreboards with penalty breakdowns, per-source provenance, filing excerpts, raw signal matrices. Every automated conclusion carries a “How was this computed?” affordance — the pattern the trust research says converts skeptics. The technology runs entirely in the background; the investor sees choices and evidence, never configuration.</w:t>
      </w:r>
    </w:p>
    <w:p>
      <w:pPr>
        <w:pStyle w:val="Heading3"/>
        <w:spacing w:after="120" w:before="220"/>
      </w:pPr>
      <w:r>
        <w:rPr>
          <w:rFonts w:ascii="Calibri" w:cs="Calibri" w:eastAsia="Calibri" w:hAnsi="Calibri"/>
          <w:b/>
          <w:bCs/>
          <w:color w:val="0E7C7B"/>
          <w:sz w:val="23"/>
          <w:szCs w:val="23"/>
        </w:rPr>
        <w:t xml:space="preserve">Recommendation</w:t>
      </w:r>
    </w:p>
    <w:p>
      <w:pPr>
        <w:spacing w:after="160" w:before="0" w:line="276"/>
        <w:jc w:val="both"/>
      </w:pPr>
      <w:r>
        <w:rPr>
          <w:rFonts w:ascii="Calibri" w:cs="Calibri" w:eastAsia="Calibri" w:hAnsi="Calibri"/>
          <w:b/>
          <w:bCs/>
          <w:i w:val="false"/>
          <w:iCs w:val="false"/>
          <w:color w:val="1A2332"/>
          <w:sz w:val="22"/>
          <w:szCs w:val="22"/>
        </w:rPr>
        <w:t xml:space="preserve">Proceed in three waves, respecting the Operation Credibility feature freeze: </w:t>
      </w:r>
      <w:r>
        <w:rPr>
          <w:rFonts w:ascii="Calibri" w:cs="Calibri" w:eastAsia="Calibri" w:hAnsi="Calibri"/>
          <w:b w:val="false"/>
          <w:bCs w:val="false"/>
          <w:i w:val="false"/>
          <w:iCs w:val="false"/>
          <w:color w:val="1A2332"/>
          <w:sz w:val="22"/>
          <w:szCs w:val="22"/>
        </w:rPr>
        <w:t xml:space="preserve">Wave 0 (now, no new features): complete K1 production data verification — the Desk is only as credible as the signals that populate it. Wave 1 (2–3 sessions, browser-equipped environment): build the Verdict + Evidence layers of The Desk on the existing desk_payload and autopilot APIs — approximately 80% of required backend endpoints already exist (§7 traceability matrix). Wave 2 (2 sessions + operator items E7/E8): light up the RL tournament leg and scored social lane, completing the six-engine promise. Every UI merge ships with screenshots per council rule P3′; “visual sign-off pending” is abolished.</w:t>
      </w:r>
    </w:p>
    <w:p>
      <w:pPr>
        <w:spacing w:after="160"/>
      </w:pPr>
    </w:p>
    <w:tbl>
      <w:tblPr>
        <w:tblW w:type="dxa" w:w="9360"/>
        <w:tblBorders>
          <w:top w:val="single" w:color="0E7C7B" w:sz="6"/>
          <w:left w:val="single" w:color="0E7C7B" w:sz="12"/>
          <w:bottom w:val="single" w:color="0E7C7B" w:sz="6"/>
          <w:right w:val="single" w:color="0E7C7B" w:sz="6"/>
          <w:insideH w:val="single" w:color="auto" w:sz="4"/>
          <w:insideV w:val="single" w:color="auto" w:sz="4"/>
        </w:tblBorders>
      </w:tblPr>
      <w:tblGrid>
        <w:gridCol w:w="9360"/>
      </w:tblGrid>
      <w:tr>
        <w:tc>
          <w:tcPr>
            <w:tcW w:type="dxa" w:w="9360"/>
            <w:shd w:fill="EAF5EF" w:val="clear"/>
            <w:tcMar>
              <w:top w:type="dxa" w:w="120"/>
              <w:left w:type="dxa" w:w="160"/>
              <w:bottom w:type="dxa" w:w="120"/>
              <w:right w:type="dxa" w:w="160"/>
            </w:tcMar>
          </w:tcPr>
          <w:p>
            <w:pPr>
              <w:spacing w:after="80"/>
            </w:pPr>
            <w:r>
              <w:rPr>
                <w:rFonts w:ascii="Calibri" w:cs="Calibri" w:eastAsia="Calibri" w:hAnsi="Calibri"/>
                <w:b/>
                <w:bCs/>
                <w:i w:val="false"/>
                <w:iCs w:val="false"/>
                <w:color w:val="1F4E79"/>
                <w:sz w:val="21"/>
                <w:szCs w:val="21"/>
              </w:rPr>
              <w:t xml:space="preserve">The one-sentence thesis</w:t>
            </w:r>
          </w:p>
          <w:p>
            <w:pPr>
              <w:spacing w:after="0"/>
              <w:jc w:val="both"/>
            </w:pPr>
            <w:r>
              <w:rPr>
                <w:rFonts w:ascii="Calibri" w:cs="Calibri" w:eastAsia="Calibri" w:hAnsi="Calibri"/>
                <w:b w:val="false"/>
                <w:bCs w:val="false"/>
                <w:i w:val="false"/>
                <w:iCs w:val="false"/>
                <w:color w:val="1A2332"/>
                <w:sz w:val="20"/>
                <w:szCs w:val="20"/>
              </w:rPr>
              <w:t xml:space="preserve">No product on the market combines automatic per-stock model selection, technical-indicator intelligence, dual-lane sentiment, document-grade fundamentals, and social monitoring under a governance layer that proves its own honesty — FINRLX has already built the engines for all six, and this document specifies the single screen that finally lets a professional investor see them.</w:t>
            </w:r>
          </w:p>
        </w:tc>
      </w:tr>
    </w:tbl>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2. Market Research — The Professional Investment-Research Tool Landscape, 2026</w:t>
      </w:r>
    </w:p>
    <w:p>
      <w:pPr>
        <w:spacing w:after="160" w:before="0" w:line="276"/>
        <w:jc w:val="both"/>
      </w:pPr>
      <w:r>
        <w:rPr>
          <w:rFonts w:ascii="Calibri" w:cs="Calibri" w:eastAsia="Calibri" w:hAnsi="Calibri"/>
          <w:b/>
          <w:bCs/>
          <w:i w:val="false"/>
          <w:iCs w:val="false"/>
          <w:color w:val="1A2332"/>
          <w:sz w:val="22"/>
          <w:szCs w:val="22"/>
        </w:rPr>
        <w:t xml:space="preserve">Method. </w:t>
      </w:r>
      <w:r>
        <w:rPr>
          <w:rFonts w:ascii="Calibri" w:cs="Calibri" w:eastAsia="Calibri" w:hAnsi="Calibri"/>
          <w:b w:val="false"/>
          <w:bCs w:val="false"/>
          <w:i w:val="false"/>
          <w:iCs w:val="false"/>
          <w:color w:val="1A2332"/>
          <w:sz w:val="22"/>
          <w:szCs w:val="22"/>
        </w:rPr>
        <w:t xml:space="preserve">The Market Intelligence Analyst surveyed the tools that professional traders, analysts, and advisors actually pay for in 2026, across six capability categories that together cover the operator’s brief. For each product: current verified pricing, the capabilities that define it, and — critically — what it does not do. All figures were retrieved from the sources in Appendix A during July 2026. Where a price is not published by the vendor (Bloomberg, AlphaSense), we cite the range reported by independent pricing-verification services and say so explicitly.</w:t>
      </w:r>
    </w:p>
    <w:p>
      <w:pPr>
        <w:pStyle w:val="Heading2"/>
        <w:spacing w:after="160" w:before="280"/>
      </w:pPr>
      <w:r>
        <w:rPr>
          <w:rFonts w:ascii="Calibri" w:cs="Calibri" w:eastAsia="Calibri" w:hAnsi="Calibri"/>
          <w:b/>
          <w:bCs/>
          <w:color w:val="1A2332"/>
          <w:sz w:val="27"/>
          <w:szCs w:val="27"/>
        </w:rPr>
        <w:t xml:space="preserve">2.1 Category anatomy — six tools where one should exist</w:t>
      </w:r>
    </w:p>
    <w:p>
      <w:pPr>
        <w:spacing w:after="160" w:before="0" w:line="276"/>
        <w:jc w:val="both"/>
      </w:pPr>
      <w:r>
        <w:rPr>
          <w:rFonts w:ascii="Calibri" w:cs="Calibri" w:eastAsia="Calibri" w:hAnsi="Calibri"/>
          <w:b w:val="false"/>
          <w:bCs w:val="false"/>
          <w:i w:val="false"/>
          <w:iCs w:val="false"/>
          <w:color w:val="1A2332"/>
          <w:sz w:val="22"/>
          <w:szCs w:val="22"/>
        </w:rPr>
        <w:t xml:space="preserve">The brief demands, for a single ticker: (i) technical-indicator analysis and discovery, (ii) machine-learning / RL model selection, (iii) news intelligence with sentiment, (iv) social-network sentiment, (v) financial-statement analysis, and (vi) sector context. In the 2026 market these live in six different product categories:</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500"/>
        <w:gridCol w:w="2650"/>
        <w:gridCol w:w="3050"/>
        <w:gridCol w:w="3160"/>
      </w:tblGrid>
      <w:tr>
        <w:trPr>
          <w:tblHeader/>
        </w:trPr>
        <w:tc>
          <w:tcPr>
            <w:tcW w:type="dxa" w:w="5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w:t>
            </w:r>
          </w:p>
        </w:tc>
        <w:tc>
          <w:tcPr>
            <w:tcW w:type="dxa" w:w="265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Category</w:t>
            </w:r>
          </w:p>
        </w:tc>
        <w:tc>
          <w:tcPr>
            <w:tcW w:type="dxa" w:w="305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Archetype leaders</w:t>
            </w:r>
          </w:p>
        </w:tc>
        <w:tc>
          <w:tcPr>
            <w:tcW w:type="dxa" w:w="31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What the professional pays</w:t>
            </w:r>
          </w:p>
        </w:tc>
      </w:tr>
      <w:tr>
        <w:tc>
          <w:tcPr>
            <w:tcW w:type="dxa" w:w="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1</w:t>
            </w:r>
          </w:p>
        </w:tc>
        <w:tc>
          <w:tcPr>
            <w:tcW w:type="dxa" w:w="265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Institutional terminals (everything, manually)</w:t>
            </w:r>
          </w:p>
        </w:tc>
        <w:tc>
          <w:tcPr>
            <w:tcW w:type="dxa" w:w="305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Bloomberg Terminal; LSEG Workspace; FactSet</w:t>
            </w:r>
          </w:p>
        </w:tc>
        <w:tc>
          <w:tcPr>
            <w:tcW w:type="dxa" w:w="3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$31,980/yr single seat (Bloomberg, 2026 verified)</w:t>
            </w:r>
          </w:p>
        </w:tc>
      </w:tr>
      <w:tr>
        <w:tc>
          <w:tcPr>
            <w:tcW w:type="dxa" w:w="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2</w:t>
            </w:r>
          </w:p>
        </w:tc>
        <w:tc>
          <w:tcPr>
            <w:tcW w:type="dxa" w:w="265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Explainable AI stock scoring</w:t>
            </w:r>
          </w:p>
        </w:tc>
        <w:tc>
          <w:tcPr>
            <w:tcW w:type="dxa" w:w="305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Danelfin; Kavout</w:t>
            </w:r>
          </w:p>
        </w:tc>
        <w:tc>
          <w:tcPr>
            <w:tcW w:type="dxa" w:w="3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Free–$79/mo retail; $299/mo API tier (Danelfin)</w:t>
            </w:r>
          </w:p>
        </w:tc>
      </w:tr>
      <w:tr>
        <w:tc>
          <w:tcPr>
            <w:tcW w:type="dxa" w:w="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3</w:t>
            </w:r>
          </w:p>
        </w:tc>
        <w:tc>
          <w:tcPr>
            <w:tcW w:type="dxa" w:w="265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Technical-analysis automation + no-code ML</w:t>
            </w:r>
          </w:p>
        </w:tc>
        <w:tc>
          <w:tcPr>
            <w:tcW w:type="dxa" w:w="305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TrendSpider; TradingView (charting)</w:t>
            </w:r>
          </w:p>
        </w:tc>
        <w:tc>
          <w:tcPr>
            <w:tcW w:type="dxa" w:w="3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≈$54–$122+/mo (TrendSpider tiers, 2026)</w:t>
            </w:r>
          </w:p>
        </w:tc>
      </w:tr>
      <w:tr>
        <w:tc>
          <w:tcPr>
            <w:tcW w:type="dxa" w:w="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4</w:t>
            </w:r>
          </w:p>
        </w:tc>
        <w:tc>
          <w:tcPr>
            <w:tcW w:type="dxa" w:w="265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Document &amp; transcript intelligence (news, filings, calls)</w:t>
            </w:r>
          </w:p>
        </w:tc>
        <w:tc>
          <w:tcPr>
            <w:tcW w:type="dxa" w:w="305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AlphaSense (incl. Tegus); Sentieo (acquired)</w:t>
            </w:r>
          </w:p>
        </w:tc>
        <w:tc>
          <w:tcPr>
            <w:tcW w:type="dxa" w:w="3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≈$15,000–$40,000+/seat/yr (reported ranges; quote-only)</w:t>
            </w:r>
          </w:p>
        </w:tc>
      </w:tr>
      <w:tr>
        <w:tc>
          <w:tcPr>
            <w:tcW w:type="dxa" w:w="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5</w:t>
            </w:r>
          </w:p>
        </w:tc>
        <w:tc>
          <w:tcPr>
            <w:tcW w:type="dxa" w:w="265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Social / alternative-data sentiment</w:t>
            </w:r>
          </w:p>
        </w:tc>
        <w:tc>
          <w:tcPr>
            <w:tcW w:type="dxa" w:w="305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AltIndex; StockTwits (community); Quiver Quantitative</w:t>
            </w:r>
          </w:p>
        </w:tc>
        <w:tc>
          <w:tcPr>
            <w:tcW w:type="dxa" w:w="3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$29–$99/mo (AltIndex)</w:t>
            </w:r>
          </w:p>
        </w:tc>
      </w:tr>
      <w:tr>
        <w:tc>
          <w:tcPr>
            <w:tcW w:type="dxa" w:w="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6</w:t>
            </w:r>
          </w:p>
        </w:tc>
        <w:tc>
          <w:tcPr>
            <w:tcW w:type="dxa" w:w="265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Real-time AI scanning &amp; signals</w:t>
            </w:r>
          </w:p>
        </w:tc>
        <w:tc>
          <w:tcPr>
            <w:tcW w:type="dxa" w:w="305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Trade Ideas (Holly AI); Finviz Elite (screening)</w:t>
            </w:r>
          </w:p>
        </w:tc>
        <w:tc>
          <w:tcPr>
            <w:tcW w:type="dxa" w:w="3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≈$118–$254/mo (Trade Ideas, 2026 reviews)</w:t>
            </w:r>
          </w:p>
        </w:tc>
      </w:tr>
    </w:tbl>
    <w:p>
      <w:pPr>
        <w:spacing w:after="200" w:before="60"/>
      </w:pPr>
      <w:r>
        <w:rPr>
          <w:rFonts w:ascii="Calibri" w:cs="Calibri" w:eastAsia="Calibri" w:hAnsi="Calibri"/>
          <w:b w:val="false"/>
          <w:bCs w:val="false"/>
          <w:i/>
          <w:iCs/>
          <w:color w:val="8A93A0"/>
          <w:sz w:val="16"/>
          <w:szCs w:val="16"/>
        </w:rPr>
        <w:t xml:space="preserve">Source: Appendix A, items S1–S18. Prices as verified July 2026; vendor pricing changes frequently.</w:t>
      </w:r>
    </w:p>
    <w:p>
      <w:pPr>
        <w:pStyle w:val="Heading2"/>
        <w:spacing w:after="160" w:before="280"/>
      </w:pPr>
      <w:r>
        <w:rPr>
          <w:rFonts w:ascii="Calibri" w:cs="Calibri" w:eastAsia="Calibri" w:hAnsi="Calibri"/>
          <w:b/>
          <w:bCs/>
          <w:color w:val="1A2332"/>
          <w:sz w:val="27"/>
          <w:szCs w:val="27"/>
        </w:rPr>
        <w:t xml:space="preserve">2.2 Product deep-dives (verified facts only)</w:t>
      </w:r>
    </w:p>
    <w:p>
      <w:pPr>
        <w:pStyle w:val="Heading3"/>
        <w:spacing w:after="120" w:before="220"/>
      </w:pPr>
      <w:r>
        <w:rPr>
          <w:rFonts w:ascii="Calibri" w:cs="Calibri" w:eastAsia="Calibri" w:hAnsi="Calibri"/>
          <w:b/>
          <w:bCs/>
          <w:color w:val="0E7C7B"/>
          <w:sz w:val="23"/>
          <w:szCs w:val="23"/>
        </w:rPr>
        <w:t xml:space="preserve">Bloomberg Terminal — the ceiling of the category</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Verified 2026 pricing: </w:t>
      </w:r>
      <w:r>
        <w:rPr>
          <w:rFonts w:ascii="Calibri" w:cs="Calibri" w:eastAsia="Calibri" w:hAnsi="Calibri"/>
          <w:b w:val="false"/>
          <w:bCs w:val="false"/>
          <w:i w:val="false"/>
          <w:iCs w:val="false"/>
          <w:color w:val="1A2332"/>
          <w:sz w:val="22"/>
          <w:szCs w:val="22"/>
        </w:rPr>
        <w:t xml:space="preserve">$31,980/year per single seat; $28,320/seat for multi-terminal clients; typically a 2-year contract. A 6.5% increase applied to renewals from January 2025. Roughly 325,000–355,000 subscribers worldwide; terminal sales account for the large majority of Bloomberg L.P. revenue. [S1, S2, S3]</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Delivers: real-time multi-asset data, news (2,700+ journalists), PORT portfolio analytics, messaging network (the institutional communication layer), Excel integration, screening, charting.</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Does not deliver (relevant to this brief): </w:t>
      </w:r>
      <w:r>
        <w:rPr>
          <w:rFonts w:ascii="Calibri" w:cs="Calibri" w:eastAsia="Calibri" w:hAnsi="Calibri"/>
          <w:b w:val="false"/>
          <w:bCs w:val="false"/>
          <w:i w:val="false"/>
          <w:iCs w:val="false"/>
          <w:color w:val="1A2332"/>
          <w:sz w:val="22"/>
          <w:szCs w:val="22"/>
        </w:rPr>
        <w:t xml:space="preserve">no automatic per-stock model tournament; no explainable ML stock scoring as a first-class object; the workflow is expert-driven and command-driven (the famous yellow-key syntax) — the antithesis of “one ticker in, complete research out.” Independent guides estimate a Koyfin+TradingView+data-API stack replicates 80–90% of typical usage at $30–$150/mo. [S4]</w:t>
      </w:r>
    </w:p>
    <w:p>
      <w:pPr>
        <w:pStyle w:val="Heading3"/>
        <w:spacing w:after="120" w:before="220"/>
      </w:pPr>
      <w:r>
        <w:rPr>
          <w:rFonts w:ascii="Calibri" w:cs="Calibri" w:eastAsia="Calibri" w:hAnsi="Calibri"/>
          <w:b/>
          <w:bCs/>
          <w:color w:val="0E7C7B"/>
          <w:sz w:val="23"/>
          <w:szCs w:val="23"/>
        </w:rPr>
        <w:t xml:space="preserve">Koyfin — “Bloomberg Lite” for fundamentals-driven professionals</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Verified 2026 pricing: </w:t>
      </w:r>
      <w:r>
        <w:rPr>
          <w:rFonts w:ascii="Calibri" w:cs="Calibri" w:eastAsia="Calibri" w:hAnsi="Calibri"/>
          <w:b w:val="false"/>
          <w:bCs w:val="false"/>
          <w:i w:val="false"/>
          <w:iCs w:val="false"/>
          <w:color w:val="1A2332"/>
          <w:sz w:val="22"/>
          <w:szCs w:val="22"/>
        </w:rPr>
        <w:t xml:space="preserve">Free tier; Plus $39/mo; Premium $79/mo (Pro tier retired April 2026); Advisor Core $209/mo; Advisor Pro $299/mo. Powered by S&amp;P Capital IQ data; 500,000+ users claimed. [S5, S6]</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Delivers: global equities/ETF/macro coverage, 10-year financials and estimates, transcripts and filings access, custom dashboards, screening, advisor client reporting.</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Does not deliver: </w:t>
      </w:r>
      <w:r>
        <w:rPr>
          <w:rFonts w:ascii="Calibri" w:cs="Calibri" w:eastAsia="Calibri" w:hAnsi="Calibri"/>
          <w:b w:val="false"/>
          <w:bCs w:val="false"/>
          <w:i w:val="false"/>
          <w:iCs w:val="false"/>
          <w:color w:val="1A2332"/>
          <w:sz w:val="22"/>
          <w:szCs w:val="22"/>
        </w:rPr>
        <w:t xml:space="preserve">no predictive model layer, no sentiment engine, no automation of analysis — Koyfin presents data superbly; the analysis remains entirely human. Its relevance to this report is as the benchmark for information density done right at retail-professional price points.</w:t>
      </w:r>
    </w:p>
    <w:p>
      <w:pPr>
        <w:pStyle w:val="Heading3"/>
        <w:spacing w:after="120" w:before="220"/>
      </w:pPr>
      <w:r>
        <w:rPr>
          <w:rFonts w:ascii="Calibri" w:cs="Calibri" w:eastAsia="Calibri" w:hAnsi="Calibri"/>
          <w:b/>
          <w:bCs/>
          <w:color w:val="0E7C7B"/>
          <w:sz w:val="23"/>
          <w:szCs w:val="23"/>
        </w:rPr>
        <w:t xml:space="preserve">Danelfin — the explainable-AI scoring benchmark</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Core mechanism (vendor-documented): </w:t>
      </w:r>
      <w:r>
        <w:rPr>
          <w:rFonts w:ascii="Calibri" w:cs="Calibri" w:eastAsia="Calibri" w:hAnsi="Calibri"/>
          <w:b w:val="false"/>
          <w:bCs w:val="false"/>
          <w:i w:val="false"/>
          <w:iCs w:val="false"/>
          <w:color w:val="1A2332"/>
          <w:sz w:val="22"/>
          <w:szCs w:val="22"/>
        </w:rPr>
        <w:t xml:space="preserve">a daily AI Score (1–10) per US/EU stock = probability of beating the market over the next 3 months, computed from ~10,000 features/stock/day across 600+ technical, 150+ fundamental, and 150+ sentiment indicators, with per-family subscores (Technical / Fundamental / Sentiment / Low-Risk). Explicitly marketed as “Explainable AI — no black boxes.” [S7, S8]</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Performance claims are backtested, and independent reviewers stress this: </w:t>
      </w:r>
      <w:r>
        <w:rPr>
          <w:rFonts w:ascii="Calibri" w:cs="Calibri" w:eastAsia="Calibri" w:hAnsi="Calibri"/>
          <w:b w:val="false"/>
          <w:bCs w:val="false"/>
          <w:i w:val="false"/>
          <w:iCs w:val="false"/>
          <w:color w:val="1A2332"/>
          <w:sz w:val="22"/>
          <w:szCs w:val="22"/>
        </w:rPr>
        <w:t xml:space="preserve">the flagship “+376% vs S&amp;P 500 +166% (2017–2025)” strategy figure is based on backtested results per Danelfin’s own disclosure; reviewer analysis notes backtested win rates typically diverge from live performance and that the much-quoted “70% win rate” derives from backtests, not audited live trading. [S8, S9]</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Pricing (2026 reviews): </w:t>
      </w:r>
      <w:r>
        <w:rPr>
          <w:rFonts w:ascii="Calibri" w:cs="Calibri" w:eastAsia="Calibri" w:hAnsi="Calibri"/>
          <w:b w:val="false"/>
          <w:bCs w:val="false"/>
          <w:i w:val="false"/>
          <w:iCs w:val="false"/>
          <w:color w:val="1A2332"/>
          <w:sz w:val="22"/>
          <w:szCs w:val="22"/>
        </w:rPr>
        <w:t xml:space="preserve">Free (3 stocks), Starter $28/mo, Pro $79/mo, Advanced/API $299/mo. [S9]</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Design lesson for FINRLX: </w:t>
      </w:r>
      <w:r>
        <w:rPr>
          <w:rFonts w:ascii="Calibri" w:cs="Calibri" w:eastAsia="Calibri" w:hAnsi="Calibri"/>
          <w:b w:val="false"/>
          <w:bCs w:val="false"/>
          <w:i w:val="false"/>
          <w:iCs w:val="false"/>
          <w:color w:val="1A2332"/>
          <w:sz w:val="22"/>
          <w:szCs w:val="22"/>
        </w:rPr>
        <w:t xml:space="preserve">the score-dial + subscore decomposition is the category’s most legible pattern for “AI verdict with reasons” — reviewers single out the subscore breakdown as more valuable than the composite. FINRLX’s tournament can honestly go one level deeper than Danelfin: it can show validation-vs-train divergence per candidate, which Danelfin does not expose.</w:t>
      </w:r>
    </w:p>
    <w:p>
      <w:pPr>
        <w:pStyle w:val="Heading3"/>
        <w:spacing w:after="120" w:before="220"/>
      </w:pPr>
      <w:r>
        <w:rPr>
          <w:rFonts w:ascii="Calibri" w:cs="Calibri" w:eastAsia="Calibri" w:hAnsi="Calibri"/>
          <w:b/>
          <w:bCs/>
          <w:color w:val="0E7C7B"/>
          <w:sz w:val="23"/>
          <w:szCs w:val="23"/>
        </w:rPr>
        <w:t xml:space="preserve">TrendSpider — technical automation and retail no-code ML</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Verified capabilities (vendor + 2026 reviews): </w:t>
      </w:r>
      <w:r>
        <w:rPr>
          <w:rFonts w:ascii="Calibri" w:cs="Calibri" w:eastAsia="Calibri" w:hAnsi="Calibri"/>
          <w:b w:val="false"/>
          <w:bCs w:val="false"/>
          <w:i w:val="false"/>
          <w:iCs w:val="false"/>
          <w:color w:val="1A2332"/>
          <w:sz w:val="22"/>
          <w:szCs w:val="22"/>
        </w:rPr>
        <w:t xml:space="preserve">automated trendline/pattern/Fibonacci detection across timeframes; 200+ built-in indicators; a no-code Strategy Tester with ~50 years of data; an AI Strategy Lab that trains ML models (Random Forest, KNN, Naive Bayes, Logistic Regression) on user-defined targets without code; “Sidekick” AI assistant (notably powered by a Claude model per the vendor site); strategy bots with broker routing via SignalStack. [S10, S11]</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Pricing: </w:t>
      </w:r>
      <w:r>
        <w:rPr>
          <w:rFonts w:ascii="Calibri" w:cs="Calibri" w:eastAsia="Calibri" w:hAnsi="Calibri"/>
          <w:b w:val="false"/>
          <w:bCs w:val="false"/>
          <w:i w:val="false"/>
          <w:iCs w:val="false"/>
          <w:color w:val="1A2332"/>
          <w:sz w:val="22"/>
          <w:szCs w:val="22"/>
        </w:rPr>
        <w:t xml:space="preserve">tiers reported at approximately $54–$122+/mo (Standard/Premium/Enhanced; sources differ on promotional vs list — range disclosed in Appendix A). [S11, S12]</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Does not deliver: </w:t>
      </w:r>
      <w:r>
        <w:rPr>
          <w:rFonts w:ascii="Calibri" w:cs="Calibri" w:eastAsia="Calibri" w:hAnsi="Calibri"/>
          <w:b w:val="false"/>
          <w:bCs w:val="false"/>
          <w:i w:val="false"/>
          <w:iCs w:val="false"/>
          <w:color w:val="1A2332"/>
          <w:sz w:val="22"/>
          <w:szCs w:val="22"/>
        </w:rPr>
        <w:t xml:space="preserve">fundamentals depth, filings intelligence, or any governance/validation layer around its ML — the AI Strategy Lab trains and deploys models with no equivalent of a deflated-Sharpe penalty or walk-forward divergence gate surfaced to the user. Its lesson for FINRLX is compositional: charts are the centerpiece of every screen, never an appendix.</w:t>
      </w:r>
    </w:p>
    <w:p>
      <w:pPr>
        <w:pStyle w:val="Heading3"/>
        <w:spacing w:after="120" w:before="220"/>
      </w:pPr>
      <w:r>
        <w:rPr>
          <w:rFonts w:ascii="Calibri" w:cs="Calibri" w:eastAsia="Calibri" w:hAnsi="Calibri"/>
          <w:b/>
          <w:bCs/>
          <w:color w:val="0E7C7B"/>
          <w:sz w:val="23"/>
          <w:szCs w:val="23"/>
        </w:rPr>
        <w:t xml:space="preserve">AlphaSense — document intelligence at institutional price</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Verified capabilities: </w:t>
      </w:r>
      <w:r>
        <w:rPr>
          <w:rFonts w:ascii="Calibri" w:cs="Calibri" w:eastAsia="Calibri" w:hAnsi="Calibri"/>
          <w:b w:val="false"/>
          <w:bCs w:val="false"/>
          <w:i w:val="false"/>
          <w:iCs w:val="false"/>
          <w:color w:val="1A2332"/>
          <w:sz w:val="22"/>
          <w:szCs w:val="22"/>
        </w:rPr>
        <w:t xml:space="preserve">AI search and synthesis over 500M+ documents: SEC and global filings, earnings-call transcripts (live coverage of 5,000+ companies per season), broker research from 1,500–1,700+ providers, and a 240,000+ expert-call transcript library (Tegus). Proprietary financial-language sentiment analysis with phrase-level color coding; document black-lining that flags material changes between filings; generative “Smart Summaries” and autonomous research agents. Used by 85% of the S&amp;P 100. [S13, S14]</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Pricing (independent reporting; vendor is quote-only): </w:t>
      </w:r>
      <w:r>
        <w:rPr>
          <w:rFonts w:ascii="Calibri" w:cs="Calibri" w:eastAsia="Calibri" w:hAnsi="Calibri"/>
          <w:b w:val="false"/>
          <w:bCs w:val="false"/>
          <w:i w:val="false"/>
          <w:iCs w:val="false"/>
          <w:color w:val="1A2332"/>
          <w:sz w:val="22"/>
          <w:szCs w:val="22"/>
        </w:rPr>
        <w:t xml:space="preserve">roughly $15,000–$20,000/seat/yr standard enterprise; $40,000+/seat with expert-transcript access. [S15]</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Does not deliver: </w:t>
      </w:r>
      <w:r>
        <w:rPr>
          <w:rFonts w:ascii="Calibri" w:cs="Calibri" w:eastAsia="Calibri" w:hAnsi="Calibri"/>
          <w:b w:val="false"/>
          <w:bCs w:val="false"/>
          <w:i w:val="false"/>
          <w:iCs w:val="false"/>
          <w:color w:val="1A2332"/>
          <w:sz w:val="22"/>
          <w:szCs w:val="22"/>
        </w:rPr>
        <w:t xml:space="preserve">any quantitative signal engine, price analytics, or model selection — AlphaSense reads; it does not score. Its lesson for FINRLX: every synthesized claim ships with a citation to the exact source snippet — the same evidence-link discipline FINRLX already enforces in its dossier contracts.</w:t>
      </w:r>
    </w:p>
    <w:p>
      <w:pPr>
        <w:pStyle w:val="Heading3"/>
        <w:spacing w:after="120" w:before="220"/>
      </w:pPr>
      <w:r>
        <w:rPr>
          <w:rFonts w:ascii="Calibri" w:cs="Calibri" w:eastAsia="Calibri" w:hAnsi="Calibri"/>
          <w:b/>
          <w:bCs/>
          <w:color w:val="0E7C7B"/>
          <w:sz w:val="23"/>
          <w:szCs w:val="23"/>
        </w:rPr>
        <w:t xml:space="preserve">AltIndex — the social &amp; alternative-data lane</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Verified capabilities: </w:t>
      </w:r>
      <w:r>
        <w:rPr>
          <w:rFonts w:ascii="Calibri" w:cs="Calibri" w:eastAsia="Calibri" w:hAnsi="Calibri"/>
          <w:b w:val="false"/>
          <w:bCs w:val="false"/>
          <w:i w:val="false"/>
          <w:iCs w:val="false"/>
          <w:color w:val="1A2332"/>
          <w:sz w:val="22"/>
          <w:szCs w:val="22"/>
        </w:rPr>
        <w:t xml:space="preserve">tracks Reddit (incl. r/wallstreetbets), X, StockTwits, TipRanks and ~13 other platforms plus web traffic, app downloads, hiring, and insider activity for ~2,500–2,900 US tickers; social lists refresh every 5–15 minutes in market hours; everything blends into a 0–100 AI Score refreshed daily. [S16, S17]</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Pricing: </w:t>
      </w:r>
      <w:r>
        <w:rPr>
          <w:rFonts w:ascii="Calibri" w:cs="Calibri" w:eastAsia="Calibri" w:hAnsi="Calibri"/>
          <w:b w:val="false"/>
          <w:bCs w:val="false"/>
          <w:i w:val="false"/>
          <w:iCs w:val="false"/>
          <w:color w:val="1A2332"/>
          <w:sz w:val="22"/>
          <w:szCs w:val="22"/>
        </w:rPr>
        <w:t xml:space="preserve">Starter $29/mo, Pro $99/mo (API, 500 req/day). No free tier; 14-day money-back. [S18]</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Independent criticism worth internalizing: </w:t>
      </w:r>
      <w:r>
        <w:rPr>
          <w:rFonts w:ascii="Calibri" w:cs="Calibri" w:eastAsia="Calibri" w:hAnsi="Calibri"/>
          <w:b w:val="false"/>
          <w:bCs w:val="false"/>
          <w:i w:val="false"/>
          <w:iCs w:val="false"/>
          <w:color w:val="1A2332"/>
          <w:sz w:val="22"/>
          <w:szCs w:val="22"/>
        </w:rPr>
        <w:t xml:space="preserve">reviewers flag that the sentiment is “blended into a proprietary AI Score with undisclosed methodology, not independently auditable.” [S17] That is precisely the credibility gap FINRLX’s labeled, per-lane sentiment (news lane vs social lane, with divergence flags) is architected to avoid.</w:t>
      </w:r>
    </w:p>
    <w:p>
      <w:pPr>
        <w:pStyle w:val="Heading3"/>
        <w:spacing w:after="120" w:before="220"/>
      </w:pPr>
      <w:r>
        <w:rPr>
          <w:rFonts w:ascii="Calibri" w:cs="Calibri" w:eastAsia="Calibri" w:hAnsi="Calibri"/>
          <w:b/>
          <w:bCs/>
          <w:color w:val="0E7C7B"/>
          <w:sz w:val="23"/>
          <w:szCs w:val="23"/>
        </w:rPr>
        <w:t xml:space="preserve">Trade Ideas — real-time AI scanning (the adjacent-but-different persona)</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Verified capabilities &amp; pricing: </w:t>
      </w:r>
      <w:r>
        <w:rPr>
          <w:rFonts w:ascii="Calibri" w:cs="Calibri" w:eastAsia="Calibri" w:hAnsi="Calibri"/>
          <w:b w:val="false"/>
          <w:bCs w:val="false"/>
          <w:i w:val="false"/>
          <w:iCs w:val="false"/>
          <w:color w:val="1A2332"/>
          <w:sz w:val="22"/>
          <w:szCs w:val="22"/>
        </w:rPr>
        <w:t xml:space="preserve">Holly AI re-evaluates dozens of strategies nightly and issues 5–25 intraday signals with entries/stops/targets; real-time scanning of 8,000+ US equities; OddsMaker backtesting; 2026 pricing reported at $118–$254/mo across sources. [S19, S20]</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Relevance: </w:t>
      </w:r>
      <w:r>
        <w:rPr>
          <w:rFonts w:ascii="Calibri" w:cs="Calibri" w:eastAsia="Calibri" w:hAnsi="Calibri"/>
          <w:b w:val="false"/>
          <w:bCs w:val="false"/>
          <w:i w:val="false"/>
          <w:iCs w:val="false"/>
          <w:color w:val="1A2332"/>
          <w:sz w:val="22"/>
          <w:szCs w:val="22"/>
        </w:rPr>
        <w:t xml:space="preserve">Trade Ideas serves the intraday trader, not the research-driven investor — but its “published live trade log, losing trades included” transparency practice is the strongest honesty precedent in the retail category and directly supports FINRLX’s selection-history display (§5.4, Tournament panel).</w:t>
      </w:r>
    </w:p>
    <w:p>
      <w:pPr>
        <w:pStyle w:val="Heading2"/>
        <w:spacing w:after="160" w:before="280"/>
      </w:pPr>
      <w:r>
        <w:rPr>
          <w:rFonts w:ascii="Calibri" w:cs="Calibri" w:eastAsia="Calibri" w:hAnsi="Calibri"/>
          <w:b/>
          <w:bCs/>
          <w:color w:val="1A2332"/>
          <w:sz w:val="27"/>
          <w:szCs w:val="27"/>
        </w:rPr>
        <w:t xml:space="preserve">2.3 The capability matrix — where the whitespace is</w:t>
      </w:r>
    </w:p>
    <w:p>
      <w:pPr>
        <w:spacing w:after="160" w:before="0" w:line="276"/>
        <w:jc w:val="both"/>
      </w:pPr>
      <w:r>
        <w:rPr>
          <w:rFonts w:ascii="Calibri" w:cs="Calibri" w:eastAsia="Calibri" w:hAnsi="Calibri"/>
          <w:b w:val="false"/>
          <w:bCs w:val="false"/>
          <w:i w:val="false"/>
          <w:iCs w:val="false"/>
          <w:color w:val="1A2332"/>
          <w:sz w:val="22"/>
          <w:szCs w:val="22"/>
        </w:rPr>
        <w:t xml:space="preserve">Scoring convention: ● = first-class, productized capability; ◐ = partial or adjacent; — = absent. FINRLX column reflects code-verified reality per §3 (not aspiration); ◐* marks engines that are contract-ready but gated on operator items E7/E8.</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2700"/>
        <w:gridCol w:w="940"/>
        <w:gridCol w:w="900"/>
        <w:gridCol w:w="1040"/>
        <w:gridCol w:w="1000"/>
        <w:gridCol w:w="830"/>
        <w:gridCol w:w="990"/>
        <w:gridCol w:w="960"/>
      </w:tblGrid>
      <w:tr>
        <w:trPr>
          <w:tblHeader/>
        </w:trPr>
        <w:tc>
          <w:tcPr>
            <w:tcW w:type="dxa" w:w="27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Capability</w:t>
            </w:r>
          </w:p>
        </w:tc>
        <w:tc>
          <w:tcPr>
            <w:tcW w:type="dxa" w:w="94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Bloomberg</w:t>
            </w:r>
          </w:p>
        </w:tc>
        <w:tc>
          <w:tcPr>
            <w:tcW w:type="dxa" w:w="9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Danelfin</w:t>
            </w:r>
          </w:p>
        </w:tc>
        <w:tc>
          <w:tcPr>
            <w:tcW w:type="dxa" w:w="104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TrendSpider</w:t>
            </w:r>
          </w:p>
        </w:tc>
        <w:tc>
          <w:tcPr>
            <w:tcW w:type="dxa" w:w="10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AlphaSense</w:t>
            </w:r>
          </w:p>
        </w:tc>
        <w:tc>
          <w:tcPr>
            <w:tcW w:type="dxa" w:w="83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AltIndex</w:t>
            </w:r>
          </w:p>
        </w:tc>
        <w:tc>
          <w:tcPr>
            <w:tcW w:type="dxa" w:w="99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Trade Ideas</w:t>
            </w:r>
          </w:p>
        </w:tc>
        <w:tc>
          <w:tcPr>
            <w:tcW w:type="dxa" w:w="9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FINRLX (code-verified)</w:t>
            </w:r>
          </w:p>
        </w:tc>
      </w:tr>
      <w:tr>
        <w:tc>
          <w:tcPr>
            <w:tcW w:type="dxa" w:w="2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Technical indicator engine + regime detection</w:t>
            </w:r>
          </w:p>
        </w:tc>
        <w:tc>
          <w:tcPr>
            <w:tcW w:type="dxa" w:w="9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Automatic per-stock model selection (validated tournament)</w:t>
            </w:r>
          </w:p>
        </w:tc>
        <w:tc>
          <w:tcPr>
            <w:tcW w:type="dxa" w:w="9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Deep-RL candidate models (PPO/A2C) with isolation governance</w:t>
            </w:r>
          </w:p>
        </w:tc>
        <w:tc>
          <w:tcPr>
            <w:tcW w:type="dxa" w:w="9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News intelligence + sentiment</w:t>
            </w:r>
          </w:p>
        </w:tc>
        <w:tc>
          <w:tcPr>
            <w:tcW w:type="dxa" w:w="9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Social / forum sentiment (labeled, per-platform)</w:t>
            </w:r>
          </w:p>
        </w:tc>
        <w:tc>
          <w:tcPr>
            <w:tcW w:type="dxa" w:w="9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Financial statements / XBRL trend analysis</w:t>
            </w:r>
          </w:p>
        </w:tc>
        <w:tc>
          <w:tcPr>
            <w:tcW w:type="dxa" w:w="9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Filings &amp; insider-activity signals</w:t>
            </w:r>
          </w:p>
        </w:tc>
        <w:tc>
          <w:tcPr>
            <w:tcW w:type="dxa" w:w="9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Sector / benchmark context</w:t>
            </w:r>
          </w:p>
        </w:tc>
        <w:tc>
          <w:tcPr>
            <w:tcW w:type="dxa" w:w="9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Overfitting guards surfaced to the user</w:t>
            </w:r>
          </w:p>
        </w:tc>
        <w:tc>
          <w:tcPr>
            <w:tcW w:type="dxa" w:w="9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Per-number provenance &amp; data-health transparency</w:t>
            </w:r>
          </w:p>
        </w:tc>
        <w:tc>
          <w:tcPr>
            <w:tcW w:type="dxa" w:w="9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r>
        <w:tc>
          <w:tcPr>
            <w:tcW w:type="dxa" w:w="2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Single automatic “ticker → full dossier” pipeline</w:t>
            </w:r>
          </w:p>
        </w:tc>
        <w:tc>
          <w:tcPr>
            <w:tcW w:type="dxa" w:w="9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1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83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9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c>
          <w:tcPr>
            <w:tcW w:type="dxa" w:w="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t>
            </w:r>
          </w:p>
        </w:tc>
      </w:tr>
    </w:tbl>
    <w:p>
      <w:pPr>
        <w:spacing w:after="200" w:before="60"/>
      </w:pPr>
      <w:r>
        <w:rPr>
          <w:rFonts w:ascii="Calibri" w:cs="Calibri" w:eastAsia="Calibri" w:hAnsi="Calibri"/>
          <w:b w:val="false"/>
          <w:bCs w:val="false"/>
          <w:i/>
          <w:iCs/>
          <w:color w:val="8A93A0"/>
          <w:sz w:val="16"/>
          <w:szCs w:val="16"/>
        </w:rPr>
        <w:t xml:space="preserve">Source: Competitor columns: vendor documentation and 2026 independent reviews (Appendix A). FINRLX column: repository evidence per §3 traceability table.</w:t>
      </w:r>
    </w:p>
    <w:p>
      <w:pPr>
        <w:spacing w:after="160"/>
      </w:pPr>
    </w:p>
    <w:tbl>
      <w:tblPr>
        <w:tblW w:type="dxa" w:w="9360"/>
        <w:tblBorders>
          <w:top w:val="single" w:color="0E7C7B" w:sz="6"/>
          <w:left w:val="single" w:color="0E7C7B" w:sz="12"/>
          <w:bottom w:val="single" w:color="0E7C7B" w:sz="6"/>
          <w:right w:val="single" w:color="0E7C7B" w:sz="6"/>
          <w:insideH w:val="single" w:color="auto" w:sz="4"/>
          <w:insideV w:val="single" w:color="auto" w:sz="4"/>
        </w:tblBorders>
      </w:tblPr>
      <w:tblGrid>
        <w:gridCol w:w="9360"/>
      </w:tblGrid>
      <w:tr>
        <w:tc>
          <w:tcPr>
            <w:tcW w:type="dxa" w:w="9360"/>
            <w:shd w:fill="EAF5EF" w:val="clear"/>
            <w:tcMar>
              <w:top w:type="dxa" w:w="120"/>
              <w:left w:type="dxa" w:w="160"/>
              <w:bottom w:type="dxa" w:w="120"/>
              <w:right w:type="dxa" w:w="160"/>
            </w:tcMar>
          </w:tcPr>
          <w:p>
            <w:pPr>
              <w:spacing w:after="80"/>
            </w:pPr>
            <w:r>
              <w:rPr>
                <w:rFonts w:ascii="Calibri" w:cs="Calibri" w:eastAsia="Calibri" w:hAnsi="Calibri"/>
                <w:b/>
                <w:bCs/>
                <w:i w:val="false"/>
                <w:iCs w:val="false"/>
                <w:color w:val="1F4E79"/>
                <w:sz w:val="21"/>
                <w:szCs w:val="21"/>
              </w:rPr>
              <w:t xml:space="preserve">The whitespace, stated precisely</w:t>
            </w:r>
          </w:p>
          <w:p>
            <w:pPr>
              <w:spacing w:after="0" w:before="0" w:line="276"/>
              <w:jc w:val="both"/>
            </w:pPr>
            <w:r>
              <w:rPr>
                <w:rFonts w:ascii="Calibri" w:cs="Calibri" w:eastAsia="Calibri" w:hAnsi="Calibri"/>
                <w:b w:val="false"/>
                <w:bCs w:val="false"/>
                <w:i w:val="false"/>
                <w:iCs w:val="false"/>
                <w:color w:val="1A2332"/>
                <w:sz w:val="22"/>
                <w:szCs w:val="22"/>
              </w:rPr>
              <w:t xml:space="preserve">Two rows of the matrix have exactly one ●, and it is FINRLX’s: (1) a validated, per-stock automatic model tournament whose overfitting penalties are shown to the user, and (2) per-number provenance with a live data-health surface. No surveyed competitor — at any price up to $31,980/year — productizes either. The market’s documented trust deficit (54% “somewhat” trust; 38.9% fear of wrong AI recommendations) is the demand signal for precisely these two rows. The Unified Research Desk’s job is to make these two differentiators visible in the first ten seconds, with the other five engine families arrayed around them.</w:t>
            </w:r>
          </w:p>
        </w:tc>
      </w:tr>
    </w:tbl>
    <w:p>
      <w:pPr>
        <w:spacing w:after="160"/>
      </w:pPr>
    </w:p>
    <w:p>
      <w:pPr>
        <w:pStyle w:val="Heading2"/>
        <w:spacing w:after="160" w:before="280"/>
      </w:pPr>
      <w:r>
        <w:rPr>
          <w:rFonts w:ascii="Calibri" w:cs="Calibri" w:eastAsia="Calibri" w:hAnsi="Calibri"/>
          <w:b/>
          <w:bCs/>
          <w:color w:val="1A2332"/>
          <w:sz w:val="27"/>
          <w:szCs w:val="27"/>
        </w:rPr>
        <w:t xml:space="preserve">2.4 Pricing architecture &amp; positioning implication</w:t>
      </w:r>
    </w:p>
    <w:p>
      <w:pPr>
        <w:spacing w:after="160" w:before="0" w:line="276"/>
        <w:jc w:val="both"/>
      </w:pPr>
      <w:r>
        <w:rPr>
          <w:rFonts w:ascii="Calibri" w:cs="Calibri" w:eastAsia="Calibri" w:hAnsi="Calibri"/>
          <w:b w:val="false"/>
          <w:bCs w:val="false"/>
          <w:i w:val="false"/>
          <w:iCs w:val="false"/>
          <w:color w:val="1A2332"/>
          <w:sz w:val="22"/>
          <w:szCs w:val="22"/>
        </w:rPr>
        <w:t xml:space="preserve">The stack a research-driven professional would assemble to approximate the brief — Danelfin Pro ($79) + TrendSpider mid-tier (≈$90) + AltIndex Starter ($29) + Koyfin Plus ($39) — runs ≈$237/month with zero integration between the four, and still lacks document intelligence (AlphaSense-class capabilities start around $1,250/month equivalent). This brackets a defensible FINRLX anchor in the $49–$99/month range for the unified desk, consistent with the internal Credibility Audit’s $30–$80 estimate, with the governance layer as the premium justification rather than a hidden cost. Pricing strategy is out of scope for this document; the figure is recorded to constrain design (the Desk must feel worth more than the sum of four tools, which is a density and polish requirement, not a feature-count requirement).</w:t>
      </w:r>
    </w:p>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3. Capability Assessment — What FINRLX Actually Has (Code-Verified)</w:t>
      </w:r>
    </w:p>
    <w:p>
      <w:pPr>
        <w:spacing w:after="160" w:before="0" w:line="276"/>
        <w:jc w:val="both"/>
      </w:pPr>
      <w:r>
        <w:rPr>
          <w:rFonts w:ascii="Calibri" w:cs="Calibri" w:eastAsia="Calibri" w:hAnsi="Calibri"/>
          <w:b/>
          <w:bCs/>
          <w:i w:val="false"/>
          <w:iCs w:val="false"/>
          <w:color w:val="1A2332"/>
          <w:sz w:val="22"/>
          <w:szCs w:val="22"/>
        </w:rPr>
        <w:t xml:space="preserve">Method. </w:t>
      </w:r>
      <w:r>
        <w:rPr>
          <w:rFonts w:ascii="Calibri" w:cs="Calibri" w:eastAsia="Calibri" w:hAnsi="Calibri"/>
          <w:b w:val="false"/>
          <w:bCs w:val="false"/>
          <w:i w:val="false"/>
          <w:iCs w:val="false"/>
          <w:color w:val="1A2332"/>
          <w:sz w:val="22"/>
          <w:szCs w:val="22"/>
        </w:rPr>
        <w:t xml:space="preserve">The Platform Archaeologist inspected the repository at main @ cbea0fa: every service module, API route, and test suite. Each engine family below is graded on a three-level maturity scale. “Production” means: implemented, wired into an API, covered by passing tests in the 1,308-test backend suite, and deployed via Railway auto-deploy. “Contract-ready” means: the full integration contract, validation gates, and tests exist, but execution awaits an operator-gated resource. “Governed-out” means: deliberately excluded from production by governance design. Every row cites its evidence.</w:t>
      </w:r>
    </w:p>
    <w:p>
      <w:pPr>
        <w:pStyle w:val="Heading2"/>
        <w:spacing w:after="160" w:before="280"/>
      </w:pPr>
      <w:r>
        <w:rPr>
          <w:rFonts w:ascii="Calibri" w:cs="Calibri" w:eastAsia="Calibri" w:hAnsi="Calibri"/>
          <w:b/>
          <w:bCs/>
          <w:color w:val="1A2332"/>
          <w:sz w:val="27"/>
          <w:szCs w:val="27"/>
        </w:rPr>
        <w:t xml:space="preserve">3.1 Engine inventory &amp; maturity grades</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1900"/>
        <w:gridCol w:w="3560"/>
        <w:gridCol w:w="1400"/>
        <w:gridCol w:w="2500"/>
      </w:tblGrid>
      <w:tr>
        <w:trPr>
          <w:tblHeader/>
        </w:trPr>
        <w:tc>
          <w:tcPr>
            <w:tcW w:type="dxa" w:w="19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Engine family</w:t>
            </w:r>
          </w:p>
        </w:tc>
        <w:tc>
          <w:tcPr>
            <w:tcW w:type="dxa" w:w="35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What it does</w:t>
            </w:r>
          </w:p>
        </w:tc>
        <w:tc>
          <w:tcPr>
            <w:tcW w:type="dxa" w:w="14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Maturity</w:t>
            </w:r>
          </w:p>
        </w:tc>
        <w:tc>
          <w:tcPr>
            <w:tcW w:type="dxa" w:w="25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Repository evidence</w:t>
            </w:r>
          </w:p>
        </w:tc>
      </w:tr>
      <w:tr>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Autopilot research pipeline</w:t>
            </w:r>
          </w:p>
        </w:tc>
        <w:tc>
          <w:tcPr>
            <w:tcW w:type="dxa" w:w="3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POST a ticker → staged job: ingest → enrich (news, fundamentals, filings) → features → model tournament → persisted dossier; cache keyed on (ticker, dataset fingerprint, engine version)</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services/pipeline.py, api/v1/autopilot.py; test_leap_autopilot.py, test_leap_s2_persistence_compare.py</w:t>
            </w:r>
          </w:p>
        </w:tc>
      </w:tr>
      <w:tr>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Model tournament + overfitting guard</w:t>
            </w:r>
          </w:p>
        </w:tc>
        <w:tc>
          <w:tcPr>
            <w:tcW w:type="dxa" w:w="3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Walk-forward ≥3 expanding splits; score = validation Sharpe − train/validation divergence penalty − deflated-Sharpe multiple-testing penalty; ties resolve to the simpler model; full scoreboard persisted</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Decision D36 implementation; test_leap_s4_tournament.py</w:t>
            </w:r>
          </w:p>
        </w:tc>
      </w:tr>
      <w:tr>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ML return forecaster</w:t>
            </w:r>
          </w:p>
        </w:tc>
        <w:tc>
          <w:tcPr>
            <w:tcW w:type="dxa" w:w="3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Regularized HistGradientBoostingRegressor on the indicator feature set + news-sentiment features; leakage-tested</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services/ml_forecaster.py; test_leap_s4_ml_forecaster.py</w:t>
            </w:r>
          </w:p>
        </w:tc>
      </w:tr>
      <w:tr>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Technical indicator vocabulary</w:t>
            </w:r>
          </w:p>
        </w:tc>
        <w:tc>
          <w:tcPr>
            <w:tcW w:type="dxa" w:w="3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Returns, volatility, drawdown, SMA cross, MACD, RSI, turbulence; regime rule (uptrend / risk-off / neutral) with band series in exact production-rule parity</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services/single_ticker_analysis.py, services/desk_payload.py; test_leap_s3_indicators.py, test_leap_a4_desk_payload.py</w:t>
            </w:r>
          </w:p>
        </w:tc>
      </w:tr>
      <w:tr>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Signal matrix with self-history percentiles</w:t>
            </w:r>
          </w:p>
        </w:tc>
        <w:tc>
          <w:tcPr>
            <w:tcW w:type="dxa" w:w="3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Each feature: value, percentile vs its own trailing history (≥252 sessions or honestly omitted), 60-session sparkline, plain-language read</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desk_payload.signal_matrix; MIN_PERCENTILE_HISTORY=252 constant</w:t>
            </w:r>
          </w:p>
        </w:tc>
      </w:tr>
      <w:tr>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News intelligence + sentiment (lane 1)</w:t>
            </w:r>
          </w:p>
        </w:tc>
        <w:tc>
          <w:tcPr>
            <w:tcW w:type="dxa" w:w="3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Ingestion, per-article sentiment, evidence-linked annotations feeding the dossier News card; “why this matters” provider behind a canary-gated flag with adversarial validator</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services/news.py, news_annotations.py; test_leap_s9_annotations.py</w:t>
            </w:r>
          </w:p>
        </w:tc>
      </w:tr>
      <w:tr>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Social sentiment (lane 2) + divergence</w:t>
            </w:r>
          </w:p>
        </w:tc>
        <w:tc>
          <w:tcPr>
            <w:tcW w:type="dxa" w:w="3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Finnhub social adapter; labeled mentions-only fallback when the premium tier is absent; sign-based divergence between news lane and social lane</w:t>
            </w:r>
          </w:p>
        </w:tc>
        <w:tc>
          <w:tcPr>
            <w:tcW w:type="dxa" w:w="1400"/>
            <w:shd w:fill="FDF3E7"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Contract-ready (E8)</w:t>
            </w:r>
          </w:p>
        </w:tc>
        <w:tc>
          <w:tcPr>
            <w:tcW w:type="dxa" w:w="2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services/data_providers/social_sentiment.py; test_leap_a2_social.py</w:t>
            </w:r>
          </w:p>
        </w:tc>
      </w:tr>
      <w:tr>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Fundamentals: SEC XBRL trends</w:t>
            </w:r>
          </w:p>
        </w:tc>
        <w:tc>
          <w:tcPr>
            <w:tcW w:type="dxa" w:w="3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Keyless SEC XBRL company-facts adapter → revenue/margin/EPS trend rows as real dossier sections</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services/data_providers/sec_xbrl.py; test_leap_a1_data_expansion.py</w:t>
            </w:r>
          </w:p>
        </w:tc>
      </w:tr>
      <w:tr>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Filings tone + insider signals</w:t>
            </w:r>
          </w:p>
        </w:tc>
        <w:tc>
          <w:tcPr>
            <w:tcW w:type="dxa" w:w="3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Finnhub insider-MSPR, filings-tone and similarity-delta adapters feeding dossier sections</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services/data_providers/finnhub_extras.py; test_leap_a1_data_expansion.py</w:t>
            </w:r>
          </w:p>
        </w:tc>
      </w:tr>
      <w:tr>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FinRL ensemble leg (PPO/A2C real training)</w:t>
            </w:r>
          </w:p>
        </w:tc>
        <w:tc>
          <w:tcPr>
            <w:tcW w:type="dxa" w:w="3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Artifact contract with protocol-identity gate, re-deflated penalties, selection history, turbulence events; worker runner + state exporter complete</w:t>
            </w:r>
          </w:p>
        </w:tc>
        <w:tc>
          <w:tcPr>
            <w:tcW w:type="dxa" w:w="1400"/>
            <w:shd w:fill="FDF3E7"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Contract-ready (E7)</w:t>
            </w:r>
          </w:p>
        </w:tc>
        <w:tc>
          <w:tcPr>
            <w:tcW w:type="dxa" w:w="2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services/finrl_ensemble.py; test_leap_a3_ensemble.py; research/finrlx_cpu container</w:t>
            </w:r>
          </w:p>
        </w:tc>
      </w:tr>
      <w:tr>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FinGPT sentiment A/B lane</w:t>
            </w:r>
          </w:p>
        </w:tc>
        <w:tc>
          <w:tcPr>
            <w:tcW w:type="dxa" w:w="3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Artifact lane with agreement A/B contract vs the production sentiment lane</w:t>
            </w:r>
          </w:p>
        </w:tc>
        <w:tc>
          <w:tcPr>
            <w:tcW w:type="dxa" w:w="1400"/>
            <w:shd w:fill="FDF3E7"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Contract-ready (E7)</w:t>
            </w:r>
          </w:p>
        </w:tc>
        <w:tc>
          <w:tcPr>
            <w:tcW w:type="dxa" w:w="2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services/fingpt_lane.py; test_leap_a2_social.py</w:t>
            </w:r>
          </w:p>
        </w:tc>
      </w:tr>
      <w:tr>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Provenance &amp; one-price-truth layer</w:t>
            </w:r>
          </w:p>
        </w:tc>
        <w:tc>
          <w:tcPr>
            <w:tcW w:type="dxa" w:w="3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Coverage-aware provider chain (yfinance → stooq, deepest-coverage-wins), per-bar quality flags, /pricechart contract-equal to dossier series, live /ops/data-health probe with dash-wall detector</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 (K1)</w:t>
            </w:r>
          </w:p>
        </w:tc>
        <w:tc>
          <w:tcPr>
            <w:tcW w:type="dxa" w:w="2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data_providers/chain_provider.py, api/v1/data_health.py, api/v1/pricechart.py; test_k1_one_price_truth.py</w:t>
            </w:r>
          </w:p>
        </w:tc>
      </w:tr>
      <w:tr>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Background autonomy</w:t>
            </w:r>
          </w:p>
        </w:tc>
        <w:tc>
          <w:tcPr>
            <w:tcW w:type="dxa" w:w="3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Daily DAG refresh of recently-researched tickers; news-delta partial re-runs; material-change incidents (regime flip, tournament winner change, sentiment swing)</w:t>
            </w:r>
          </w:p>
        </w:tc>
        <w:tc>
          <w:tcPr>
            <w:tcW w:type="dxa" w:w="1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w:t>
            </w:r>
          </w:p>
        </w:tc>
        <w:tc>
          <w:tcPr>
            <w:tcW w:type="dxa" w:w="2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jobs/daily_dag.py; test_leap_s8_refresh.py</w:t>
            </w:r>
          </w:p>
        </w:tc>
      </w:tr>
      <w:tr>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Live RL in the governed recommendation pipeline</w:t>
            </w:r>
          </w:p>
        </w:tc>
        <w:tc>
          <w:tcPr>
            <w:tcW w:type="dxa" w:w="3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RL candidates never promote into published recommendations; isolation invariant regression-tested</w:t>
            </w:r>
          </w:p>
        </w:tc>
        <w:tc>
          <w:tcPr>
            <w:tcW w:type="dxa" w:w="1400"/>
            <w:shd w:fill="F0E6E6"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Governed-out (by design)</w:t>
            </w:r>
          </w:p>
        </w:tc>
        <w:tc>
          <w:tcPr>
            <w:tcW w:type="dxa" w:w="2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Decision D18/D30; isolation regression suites (phase 8B/8F)</w:t>
            </w:r>
          </w:p>
        </w:tc>
      </w:tr>
    </w:tbl>
    <w:p>
      <w:pPr>
        <w:spacing w:after="200" w:before="60"/>
      </w:pPr>
      <w:r>
        <w:rPr>
          <w:rFonts w:ascii="Calibri" w:cs="Calibri" w:eastAsia="Calibri" w:hAnsi="Calibri"/>
          <w:b w:val="false"/>
          <w:bCs w:val="false"/>
          <w:i/>
          <w:iCs/>
          <w:color w:val="8A93A0"/>
          <w:sz w:val="16"/>
          <w:szCs w:val="16"/>
        </w:rPr>
        <w:t xml:space="preserve">Source: All paths at rotemyoeli/FINRLX @ cbea0fa. Backend suite: 1,308 passed / 0 failed on Python 3.11 and 3.12 (Operation Credibility close, 2026-07-07).</w:t>
      </w:r>
    </w:p>
    <w:p>
      <w:pPr>
        <w:pStyle w:val="Heading2"/>
        <w:spacing w:after="160" w:before="280"/>
      </w:pPr>
      <w:r>
        <w:rPr>
          <w:rFonts w:ascii="Calibri" w:cs="Calibri" w:eastAsia="Calibri" w:hAnsi="Calibri"/>
          <w:b/>
          <w:bCs/>
          <w:color w:val="1A2332"/>
          <w:sz w:val="27"/>
          <w:szCs w:val="27"/>
        </w:rPr>
        <w:t xml:space="preserve">3.2 The FinRL heritage — what the RL layer really is, honestly stated</w:t>
      </w:r>
    </w:p>
    <w:p>
      <w:pPr>
        <w:spacing w:after="160" w:before="0" w:line="276"/>
        <w:jc w:val="both"/>
      </w:pPr>
      <w:r>
        <w:rPr>
          <w:rFonts w:ascii="Calibri" w:cs="Calibri" w:eastAsia="Calibri" w:hAnsi="Calibri"/>
          <w:b w:val="false"/>
          <w:bCs w:val="false"/>
          <w:i w:val="false"/>
          <w:iCs w:val="false"/>
          <w:color w:val="1A2332"/>
          <w:sz w:val="22"/>
          <w:szCs w:val="22"/>
        </w:rPr>
        <w:t xml:space="preserve">FinRL is the first open-source framework for financial reinforcement learning (AI4Finance Foundation; presented at the NeurIPS 2020 Deep RL Workshop), providing market environments across major indices and fine-tuned implementations of DQN, DDPG, PPO, SAC, A2C, TD3 and related algorithms [S21, S22]. FINRLX builds on this lineage with a discipline the upstream ecosystem does not enforce: RL agents run as </w:t>
      </w:r>
      <w:r>
        <w:rPr>
          <w:rFonts w:ascii="Calibri" w:cs="Calibri" w:eastAsia="Calibri" w:hAnsi="Calibri"/>
          <w:b w:val="false"/>
          <w:bCs w:val="false"/>
          <w:i/>
          <w:iCs/>
          <w:color w:val="1A2332"/>
          <w:sz w:val="22"/>
          <w:szCs w:val="22"/>
        </w:rPr>
        <w:t xml:space="preserve">research candidates</w:t>
      </w:r>
      <w:r>
        <w:rPr>
          <w:rFonts w:ascii="Calibri" w:cs="Calibri" w:eastAsia="Calibri" w:hAnsi="Calibri"/>
          <w:b w:val="false"/>
          <w:bCs w:val="false"/>
          <w:i w:val="false"/>
          <w:iCs w:val="false"/>
          <w:color w:val="1A2332"/>
          <w:sz w:val="22"/>
          <w:szCs w:val="22"/>
        </w:rPr>
        <w:t xml:space="preserve"> inside an isolated container (PPO/A2C CPU configs), their artifacts pass a protocol-identity gate and re-deflation penalties before entering the tournament, and they are permanently barred from the governed recommendation pipeline. The design consequence for the Desk: the RL leg is displayed as a tournament candidate with its validation evidence — never as an oracle. When the E7 research worker is absent, the RL card states “queued for research run” honestly rather than simulating output. This honesty-by-construction is a marketable feature; §5 makes it visible.</w:t>
      </w:r>
    </w:p>
    <w:p>
      <w:pPr>
        <w:pStyle w:val="Heading2"/>
        <w:spacing w:after="160" w:before="280"/>
      </w:pPr>
      <w:r>
        <w:rPr>
          <w:rFonts w:ascii="Calibri" w:cs="Calibri" w:eastAsia="Calibri" w:hAnsi="Calibri"/>
          <w:b/>
          <w:bCs/>
          <w:color w:val="1A2332"/>
          <w:sz w:val="27"/>
          <w:szCs w:val="27"/>
        </w:rPr>
        <w:t xml:space="preserve">3.3 Gap analysis — brief requirement vs. platform reality</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3600"/>
        <w:gridCol w:w="3360"/>
        <w:gridCol w:w="2400"/>
      </w:tblGrid>
      <w:tr>
        <w:trPr>
          <w:tblHeader/>
        </w:trPr>
        <w:tc>
          <w:tcPr>
            <w:tcW w:type="dxa" w:w="36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Brief requirement (operator, verbatim intent)</w:t>
            </w:r>
          </w:p>
        </w:tc>
        <w:tc>
          <w:tcPr>
            <w:tcW w:type="dxa" w:w="33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Platform status</w:t>
            </w:r>
          </w:p>
        </w:tc>
        <w:tc>
          <w:tcPr>
            <w:tcW w:type="dxa" w:w="24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Gap &amp; owner</w:t>
            </w:r>
          </w:p>
        </w:tc>
      </w:tr>
      <w:tr>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“Search for the best technical indicators” per stock</w:t>
            </w:r>
          </w:p>
        </w:tc>
        <w:tc>
          <w:tcPr>
            <w:tcW w:type="dxa" w:w="33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Signal matrix computes the full vocabulary and ranks each feature against its own history (percentiles); regime detection identifies which family currently matters</w:t>
            </w:r>
          </w:p>
        </w:tc>
        <w:tc>
          <w:tcPr>
            <w:tcW w:type="dxa" w:w="2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Exposure gap only — Desk panel §5.4-A</w:t>
            </w:r>
          </w:p>
        </w:tc>
      </w:tr>
      <w:tr>
        <w:tc>
          <w:tcPr>
            <w:tcW w:type="dxa" w:w="3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“Find the best RL/prediction algorithm for this specific stock”</w:t>
            </w:r>
          </w:p>
        </w:tc>
        <w:tc>
          <w:tcPr>
            <w:tcW w:type="dxa" w:w="33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The tournament does exactly this across heuristic / ML / RL candidates with walk-forward validation and overfitting penalties; RL leg contract-ready</w:t>
            </w:r>
          </w:p>
        </w:tc>
        <w:tc>
          <w:tcPr>
            <w:tcW w:type="dxa" w:w="24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E7 worker (operator); Tournament Arena panel §5.4-B</w:t>
            </w:r>
          </w:p>
        </w:tc>
      </w:tr>
      <w:tr>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“Scan professional forums, summarize news, sentiment analysis”</w:t>
            </w:r>
          </w:p>
        </w:tc>
        <w:tc>
          <w:tcPr>
            <w:tcW w:type="dxa" w:w="33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News lane is production; annotations evidence-linked; “professional forums” beyond current sources = new adapter work</w:t>
            </w:r>
          </w:p>
        </w:tc>
        <w:tc>
          <w:tcPr>
            <w:tcW w:type="dxa" w:w="2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Partial capability gap: forum-source adapter (roadmap Wave 2); NOT to be simulated meanwhile</w:t>
            </w:r>
          </w:p>
        </w:tc>
      </w:tr>
      <w:tr>
        <w:tc>
          <w:tcPr>
            <w:tcW w:type="dxa" w:w="3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“Investigate social networks, analyze sentiment”</w:t>
            </w:r>
          </w:p>
        </w:tc>
        <w:tc>
          <w:tcPr>
            <w:tcW w:type="dxa" w:w="33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Social lane implemented with honest fallback; scored tier gated on E8 (Finnhub premium)</w:t>
            </w:r>
          </w:p>
        </w:tc>
        <w:tc>
          <w:tcPr>
            <w:tcW w:type="dxa" w:w="24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E8 (operator); Social Pulse panel §5.4-D</w:t>
            </w:r>
          </w:p>
        </w:tc>
      </w:tr>
      <w:tr>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“Analyze financial statements”</w:t>
            </w:r>
          </w:p>
        </w:tc>
        <w:tc>
          <w:tcPr>
            <w:tcW w:type="dxa" w:w="33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XBRL trends, filings tone, insider signals — production</w:t>
            </w:r>
          </w:p>
        </w:tc>
        <w:tc>
          <w:tcPr>
            <w:tcW w:type="dxa" w:w="2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Exposure gap only — Fundamentals panel §5.4-E</w:t>
            </w:r>
          </w:p>
        </w:tc>
      </w:tr>
      <w:tr>
        <w:tc>
          <w:tcPr>
            <w:tcW w:type="dxa" w:w="3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“Overall sector analysis”</w:t>
            </w:r>
          </w:p>
        </w:tc>
        <w:tc>
          <w:tcPr>
            <w:tcW w:type="dxa" w:w="33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Benchmark rebase (SPY) exists in pricechart; no dedicated sector aggregation engine</w:t>
            </w:r>
          </w:p>
        </w:tc>
        <w:tc>
          <w:tcPr>
            <w:tcW w:type="dxa" w:w="24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True capability gap: sector-relative module (roadmap Wave 2, small — reuses existing peers/benchmark data)</w:t>
            </w:r>
          </w:p>
        </w:tc>
      </w:tr>
      <w:tr>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“All technology runs in the background; user sees choices”</w:t>
            </w:r>
          </w:p>
        </w:tc>
        <w:tc>
          <w:tcPr>
            <w:tcW w:type="dxa" w:w="33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Autopilot pipeline + daily DAG + freshness revalidation already implement exactly this contract</w:t>
            </w:r>
          </w:p>
        </w:tc>
        <w:tc>
          <w:tcPr>
            <w:tcW w:type="dxa" w:w="2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Exposure gap only — orchestration surface §7</w:t>
            </w:r>
          </w:p>
        </w:tc>
      </w:tr>
    </w:tbl>
    <w:p>
      <w:pPr>
        <w:spacing w:after="160"/>
      </w:pPr>
    </w:p>
    <w:tbl>
      <w:tblPr>
        <w:tblW w:type="dxa" w:w="9360"/>
        <w:tblBorders>
          <w:top w:val="single" w:color="0E7C7B" w:sz="6"/>
          <w:left w:val="single" w:color="0E7C7B" w:sz="12"/>
          <w:bottom w:val="single" w:color="0E7C7B" w:sz="6"/>
          <w:right w:val="single" w:color="0E7C7B" w:sz="6"/>
          <w:insideH w:val="single" w:color="auto" w:sz="4"/>
          <w:insideV w:val="single" w:color="auto" w:sz="4"/>
        </w:tblBorders>
      </w:tblPr>
      <w:tblGrid>
        <w:gridCol w:w="9360"/>
      </w:tblGrid>
      <w:tr>
        <w:tc>
          <w:tcPr>
            <w:tcW w:type="dxa" w:w="9360"/>
            <w:shd w:fill="EAF5EF" w:val="clear"/>
            <w:tcMar>
              <w:top w:type="dxa" w:w="120"/>
              <w:left w:type="dxa" w:w="160"/>
              <w:bottom w:type="dxa" w:w="120"/>
              <w:right w:type="dxa" w:w="160"/>
            </w:tcMar>
          </w:tcPr>
          <w:p>
            <w:pPr>
              <w:spacing w:after="80"/>
            </w:pPr>
            <w:r>
              <w:rPr>
                <w:rFonts w:ascii="Calibri" w:cs="Calibri" w:eastAsia="Calibri" w:hAnsi="Calibri"/>
                <w:b/>
                <w:bCs/>
                <w:i w:val="false"/>
                <w:iCs w:val="false"/>
                <w:color w:val="1F4E79"/>
                <w:sz w:val="21"/>
                <w:szCs w:val="21"/>
              </w:rPr>
              <w:t xml:space="preserve">Assessment</w:t>
            </w:r>
          </w:p>
          <w:p>
            <w:pPr>
              <w:spacing w:after="0"/>
              <w:jc w:val="both"/>
            </w:pPr>
            <w:r>
              <w:rPr>
                <w:rFonts w:ascii="Calibri" w:cs="Calibri" w:eastAsia="Calibri" w:hAnsi="Calibri"/>
                <w:b w:val="false"/>
                <w:bCs w:val="false"/>
                <w:i w:val="false"/>
                <w:iCs w:val="false"/>
                <w:color w:val="1A2332"/>
                <w:sz w:val="20"/>
                <w:szCs w:val="20"/>
              </w:rPr>
              <w:t xml:space="preserve">Of the seven operator requirements, five are exposure gaps (the engine exists; the screen does not show it), one is operator-gated compute (E7/E8), and one-and-a-half are genuinely new but small (professional-forum adapter; sector aggregation). This inverts the usual product situation — and it is why the council authorized a design-led program: the fastest path to the operator’s vision is a screen, not a platform rebuild.</w:t>
            </w:r>
          </w:p>
        </w:tc>
      </w:tr>
    </w:tbl>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4. Product Definition — The Unified Research Desk</w:t>
      </w:r>
    </w:p>
    <w:p>
      <w:pPr>
        <w:pStyle w:val="Heading2"/>
        <w:spacing w:after="160" w:before="280"/>
      </w:pPr>
      <w:r>
        <w:rPr>
          <w:rFonts w:ascii="Calibri" w:cs="Calibri" w:eastAsia="Calibri" w:hAnsi="Calibri"/>
          <w:b/>
          <w:bCs/>
          <w:color w:val="1A2332"/>
          <w:sz w:val="27"/>
          <w:szCs w:val="27"/>
        </w:rPr>
        <w:t xml:space="preserve">4.1 Persona (design target, singular and explicit)</w:t>
      </w:r>
    </w:p>
    <w:p>
      <w:pPr>
        <w:spacing w:after="160" w:before="0" w:line="276"/>
        <w:jc w:val="both"/>
      </w:pPr>
      <w:r>
        <w:rPr>
          <w:rFonts w:ascii="Calibri" w:cs="Calibri" w:eastAsia="Calibri" w:hAnsi="Calibri"/>
          <w:b/>
          <w:bCs/>
          <w:i w:val="false"/>
          <w:iCs w:val="false"/>
          <w:color w:val="1A2332"/>
          <w:sz w:val="22"/>
          <w:szCs w:val="22"/>
        </w:rPr>
        <w:t xml:space="preserve">“The Professional Investor, Non-Technologist.” </w:t>
      </w:r>
      <w:r>
        <w:rPr>
          <w:rFonts w:ascii="Calibri" w:cs="Calibri" w:eastAsia="Calibri" w:hAnsi="Calibri"/>
          <w:b w:val="false"/>
          <w:bCs w:val="false"/>
          <w:i w:val="false"/>
          <w:iCs w:val="false"/>
          <w:color w:val="1A2332"/>
          <w:sz w:val="22"/>
          <w:szCs w:val="22"/>
        </w:rPr>
        <w:t xml:space="preserve">Fifteen-plus years in equity markets; reads 10-Ks for breakfast; fluent in Sharpe, drawdown, RSI, insider filings; has never trained a model and never wants to. Currently pays for 2–4 of the tools in §2 and stitches their outputs together manually. Judges any new tool in ten seconds on one screen. Deeply, professionally skeptical of AI output — a card-carrying member of the 54% who verify AI elsewhere. What converts this persona is not more AI; it is AI whose work can be inspected.</w:t>
      </w:r>
    </w:p>
    <w:p>
      <w:pPr>
        <w:spacing w:after="160" w:before="0" w:line="276"/>
        <w:jc w:val="both"/>
      </w:pPr>
      <w:r>
        <w:rPr>
          <w:rFonts w:ascii="Calibri" w:cs="Calibri" w:eastAsia="Calibri" w:hAnsi="Calibri"/>
          <w:b w:val="false"/>
          <w:bCs w:val="false"/>
          <w:i w:val="false"/>
          <w:iCs w:val="false"/>
          <w:color w:val="1A2332"/>
          <w:sz w:val="22"/>
          <w:szCs w:val="22"/>
        </w:rPr>
        <w:t xml:space="preserve">Anti-personas (explicitly not designed for on this screen): the day trader (Trade Ideas’ persona — needs intraday latency FINRLX does not sell); the quant developer (served by /pro/* which remains intact); the novice (served by Simple Mode which remains the public front door).</w:t>
      </w:r>
    </w:p>
    <w:p>
      <w:pPr>
        <w:pStyle w:val="Heading2"/>
        <w:spacing w:after="160" w:before="280"/>
      </w:pPr>
      <w:r>
        <w:rPr>
          <w:rFonts w:ascii="Calibri" w:cs="Calibri" w:eastAsia="Calibri" w:hAnsi="Calibri"/>
          <w:b/>
          <w:bCs/>
          <w:color w:val="1A2332"/>
          <w:sz w:val="27"/>
          <w:szCs w:val="27"/>
        </w:rPr>
        <w:t xml:space="preserve">4.2 The core promise and the contract behind it</w:t>
      </w:r>
    </w:p>
    <w:tbl>
      <w:tblPr>
        <w:tblW w:type="dxa" w:w="9360"/>
        <w:tblBorders>
          <w:top w:val="single" w:color="0E7C7B" w:sz="6"/>
          <w:left w:val="single" w:color="0E7C7B" w:sz="12"/>
          <w:bottom w:val="single" w:color="0E7C7B" w:sz="6"/>
          <w:right w:val="single" w:color="0E7C7B" w:sz="6"/>
          <w:insideH w:val="single" w:color="auto" w:sz="4"/>
          <w:insideV w:val="single" w:color="auto" w:sz="4"/>
        </w:tblBorders>
      </w:tblPr>
      <w:tblGrid>
        <w:gridCol w:w="9360"/>
      </w:tblGrid>
      <w:tr>
        <w:tc>
          <w:tcPr>
            <w:tcW w:type="dxa" w:w="9360"/>
            <w:shd w:fill="EAF5EF" w:val="clear"/>
            <w:tcMar>
              <w:top w:type="dxa" w:w="120"/>
              <w:left w:type="dxa" w:w="160"/>
              <w:bottom w:type="dxa" w:w="120"/>
              <w:right w:type="dxa" w:w="160"/>
            </w:tcMar>
          </w:tcPr>
          <w:p>
            <w:pPr>
              <w:spacing w:after="80"/>
            </w:pPr>
            <w:r>
              <w:rPr>
                <w:rFonts w:ascii="Calibri" w:cs="Calibri" w:eastAsia="Calibri" w:hAnsi="Calibri"/>
                <w:b/>
                <w:bCs/>
                <w:i w:val="false"/>
                <w:iCs w:val="false"/>
                <w:color w:val="1F4E79"/>
                <w:sz w:val="21"/>
                <w:szCs w:val="21"/>
              </w:rPr>
              <w:t xml:space="preserve">Product promise</w:t>
            </w:r>
          </w:p>
          <w:p>
            <w:pPr>
              <w:spacing w:after="0"/>
              <w:jc w:val="both"/>
            </w:pPr>
            <w:r>
              <w:rPr>
                <w:rFonts w:ascii="Calibri" w:cs="Calibri" w:eastAsia="Calibri" w:hAnsi="Calibri"/>
                <w:b w:val="false"/>
                <w:bCs w:val="false"/>
                <w:i w:val="false"/>
                <w:iCs w:val="false"/>
                <w:color w:val="1A2332"/>
                <w:sz w:val="20"/>
                <w:szCs w:val="20"/>
              </w:rPr>
              <w:t xml:space="preserve">Type a ticker. Within seconds, watch the desk assemble a complete 360° research position: which technical signals matter for this stock right now, which analysis model earned the right to opine on it (and why the others lost), what the news and the crowd are saying and whether they disagree, what the filings and the fundamentals show, and how it all sits against the sector. Every number carries its source, its freshness, and its confidence. Nothing on the screen is ever invented.</w:t>
            </w:r>
          </w:p>
        </w:tc>
      </w:tr>
    </w:tbl>
    <w:p>
      <w:pPr>
        <w:spacing w:after="160"/>
      </w:pPr>
    </w:p>
    <w:p>
      <w:pPr>
        <w:spacing w:after="160" w:before="0" w:line="276"/>
        <w:jc w:val="both"/>
      </w:pPr>
      <w:r>
        <w:rPr>
          <w:rFonts w:ascii="Calibri" w:cs="Calibri" w:eastAsia="Calibri" w:hAnsi="Calibri"/>
          <w:b w:val="false"/>
          <w:bCs w:val="false"/>
          <w:i w:val="false"/>
          <w:iCs w:val="false"/>
          <w:color w:val="1A2332"/>
          <w:sz w:val="22"/>
          <w:szCs w:val="22"/>
        </w:rPr>
        <w:t xml:space="preserve">Behind the promise, three contracts inherited from Program LEAP and Operation Credibility, restated here because the Desk must visibly honor them:</w:t>
      </w:r>
    </w:p>
    <w:p>
      <w:pPr>
        <w:pStyle w:val="ListParagraph"/>
        <w:numPr>
          <w:ilvl w:val="0"/>
          <w:numId w:val="3"/>
        </w:numPr>
        <w:spacing w:after="90" w:line="264"/>
      </w:pPr>
      <w:r>
        <w:rPr>
          <w:rFonts w:ascii="Calibri" w:cs="Calibri" w:eastAsia="Calibri" w:hAnsi="Calibri"/>
          <w:b/>
          <w:bCs/>
          <w:i w:val="false"/>
          <w:iCs w:val="false"/>
          <w:color w:val="1A2332"/>
          <w:sz w:val="22"/>
          <w:szCs w:val="22"/>
        </w:rPr>
        <w:t xml:space="preserve">Research, not advice. </w:t>
      </w:r>
      <w:r>
        <w:rPr>
          <w:rFonts w:ascii="Calibri" w:cs="Calibri" w:eastAsia="Calibri" w:hAnsi="Calibri"/>
          <w:b w:val="false"/>
          <w:bCs w:val="false"/>
          <w:i w:val="false"/>
          <w:iCs w:val="false"/>
          <w:color w:val="1A2332"/>
          <w:sz w:val="22"/>
          <w:szCs w:val="22"/>
        </w:rPr>
        <w:t xml:space="preserve">The Desk lives outside the governed recommendation pipeline (D30). Stances use the research vocabulary (constructive / cautious / neutral with confidence trio), never advice verbs. The disclaimer is a permanent fixture, not a modal.</w:t>
      </w:r>
    </w:p>
    <w:p>
      <w:pPr>
        <w:pStyle w:val="ListParagraph"/>
        <w:numPr>
          <w:ilvl w:val="0"/>
          <w:numId w:val="3"/>
        </w:numPr>
        <w:spacing w:after="90" w:line="264"/>
      </w:pPr>
      <w:r>
        <w:rPr>
          <w:rFonts w:ascii="Calibri" w:cs="Calibri" w:eastAsia="Calibri" w:hAnsi="Calibri"/>
          <w:b/>
          <w:bCs/>
          <w:i w:val="false"/>
          <w:iCs w:val="false"/>
          <w:color w:val="1A2332"/>
          <w:sz w:val="22"/>
          <w:szCs w:val="22"/>
        </w:rPr>
        <w:t xml:space="preserve">One price, one truth. </w:t>
      </w:r>
      <w:r>
        <w:rPr>
          <w:rFonts w:ascii="Calibri" w:cs="Calibri" w:eastAsia="Calibri" w:hAnsi="Calibri"/>
          <w:b w:val="false"/>
          <w:bCs w:val="false"/>
          <w:i w:val="false"/>
          <w:iCs w:val="false"/>
          <w:color w:val="1A2332"/>
          <w:sz w:val="22"/>
          <w:szCs w:val="22"/>
        </w:rPr>
        <w:t xml:space="preserve">Every surface renders the same series the dossier holds (K1 contract test). If the data chain is empty, the Desk says so and names the failing source — it never draws fiction.</w:t>
      </w:r>
    </w:p>
    <w:p>
      <w:pPr>
        <w:pStyle w:val="ListParagraph"/>
        <w:numPr>
          <w:ilvl w:val="0"/>
          <w:numId w:val="3"/>
        </w:numPr>
        <w:spacing w:after="90" w:line="264"/>
      </w:pPr>
      <w:r>
        <w:rPr>
          <w:rFonts w:ascii="Calibri" w:cs="Calibri" w:eastAsia="Calibri" w:hAnsi="Calibri"/>
          <w:b/>
          <w:bCs/>
          <w:i w:val="false"/>
          <w:iCs w:val="false"/>
          <w:color w:val="1A2332"/>
          <w:sz w:val="22"/>
          <w:szCs w:val="22"/>
        </w:rPr>
        <w:t xml:space="preserve">Automatic ≠ oracular. </w:t>
      </w:r>
      <w:r>
        <w:rPr>
          <w:rFonts w:ascii="Calibri" w:cs="Calibri" w:eastAsia="Calibri" w:hAnsi="Calibri"/>
          <w:b w:val="false"/>
          <w:bCs w:val="false"/>
          <w:i w:val="false"/>
          <w:iCs w:val="false"/>
          <w:color w:val="1A2332"/>
          <w:sz w:val="22"/>
          <w:szCs w:val="22"/>
        </w:rPr>
        <w:t xml:space="preserve">Every automatic choice — the tournament winner above all — ships with its “why” one interaction away.</w:t>
      </w:r>
    </w:p>
    <w:p>
      <w:pPr>
        <w:pStyle w:val="Heading2"/>
        <w:spacing w:after="160" w:before="280"/>
      </w:pPr>
      <w:r>
        <w:rPr>
          <w:rFonts w:ascii="Calibri" w:cs="Calibri" w:eastAsia="Calibri" w:hAnsi="Calibri"/>
          <w:b/>
          <w:bCs/>
          <w:color w:val="1A2332"/>
          <w:sz w:val="27"/>
          <w:szCs w:val="27"/>
        </w:rPr>
        <w:t xml:space="preserve">4.3 Functional requirements (numbered, testable)</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700"/>
        <w:gridCol w:w="5060"/>
        <w:gridCol w:w="3600"/>
      </w:tblGrid>
      <w:tr>
        <w:trPr>
          <w:tblHeader/>
        </w:trPr>
        <w:tc>
          <w:tcPr>
            <w:tcW w:type="dxa" w:w="7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ID</w:t>
            </w:r>
          </w:p>
        </w:tc>
        <w:tc>
          <w:tcPr>
            <w:tcW w:type="dxa" w:w="50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Requirement</w:t>
            </w:r>
          </w:p>
        </w:tc>
        <w:tc>
          <w:tcPr>
            <w:tcW w:type="dxa" w:w="36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Acceptance test</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FR-1</w:t>
            </w:r>
          </w:p>
        </w:tc>
        <w:tc>
          <w:tcPr>
            <w:tcW w:type="dxa" w:w="50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Single ticker input with server-validated autocomplete triggers the full autopilot pipeline; zero configuration exposed</w:t>
            </w:r>
          </w:p>
        </w:tc>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Playwright: type → select → staged progress visible → dossier renders; no settings control present in DOM</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FR-2</w:t>
            </w:r>
          </w:p>
        </w:tc>
        <w:tc>
          <w:tcPr>
            <w:tcW w:type="dxa" w:w="50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Verdict Layer renders within the warm-cache budget (&lt;2s) with: price chart + regime shading, composite stance + confidence, six engine dials, freshness stamps</w:t>
            </w:r>
          </w:p>
        </w:tc>
        <w:tc>
          <w:tcPr>
            <w:tcW w:type="dxa" w:w="3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Contract: warm dossier → first-paint payload complete; each dial maps to a live engine status</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FR-3</w:t>
            </w:r>
          </w:p>
        </w:tc>
        <w:tc>
          <w:tcPr>
            <w:tcW w:type="dxa" w:w="50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Six Evidence panels stream independently (Technical, Tournament, News, Social, Fundamentals, Sector); a slow panel never blocks the others</w:t>
            </w:r>
          </w:p>
        </w:tc>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Existing D42 section endpoints; per-panel skeleton → content → error states DOM-tested</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FR-4</w:t>
            </w:r>
          </w:p>
        </w:tc>
        <w:tc>
          <w:tcPr>
            <w:tcW w:type="dxa" w:w="50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Every panel exposes “How was this computed?” opening the Forensic drawer with methodology, inputs, and provenance</w:t>
            </w:r>
          </w:p>
        </w:tc>
        <w:tc>
          <w:tcPr>
            <w:tcW w:type="dxa" w:w="3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DOM test: affordance present on all six panels; drawer content includes source + timestamp + method text</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FR-5</w:t>
            </w:r>
          </w:p>
        </w:tc>
        <w:tc>
          <w:tcPr>
            <w:tcW w:type="dxa" w:w="50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Tournament panel shows: winner, full scoreboard, per-candidate validation-vs-train divergence, overfitting penalty, selection history; RL candidates show honest E7-gated status</w:t>
            </w:r>
          </w:p>
        </w:tc>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test_leap_s4_tournament payload fields all rendered; “queued_for_research_run” state DOM-tested</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FR-6</w:t>
            </w:r>
          </w:p>
        </w:tc>
        <w:tc>
          <w:tcPr>
            <w:tcW w:type="dxa" w:w="50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Sentiment duality: news lane and social lane rendered as separate labeled tapes; divergence ≥ threshold surfaces a flag card</w:t>
            </w:r>
          </w:p>
        </w:tc>
        <w:tc>
          <w:tcPr>
            <w:tcW w:type="dxa" w:w="3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test_leap_a2 divergence fixture → flag card appears with both lane values</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FR-7</w:t>
            </w:r>
          </w:p>
        </w:tc>
        <w:tc>
          <w:tcPr>
            <w:tcW w:type="dxa" w:w="50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Empty-state doctrine: ≥3 missing signals collapse to one explanatory card naming the data cause; a dash-wall never renders</w:t>
            </w:r>
          </w:p>
        </w:tc>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Existing K1 doctrine test extended to every Desk panel</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FR-8</w:t>
            </w:r>
          </w:p>
        </w:tc>
        <w:tc>
          <w:tcPr>
            <w:tcW w:type="dxa" w:w="50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Freshness engine: stale sections self-revalidate; material-change alerts (regime flip, winner change, sentiment swing) surface on the Desk header</w:t>
            </w:r>
          </w:p>
        </w:tc>
        <w:tc>
          <w:tcPr>
            <w:tcW w:type="dxa" w:w="3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test A6 revalidation contract + S8 alert fixture → header badge</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FR-9</w:t>
            </w:r>
          </w:p>
        </w:tc>
        <w:tc>
          <w:tcPr>
            <w:tcW w:type="dxa" w:w="50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Comparison: 2–4 tickers on identical Desk dimensions from cached dossiers</w:t>
            </w:r>
          </w:p>
        </w:tc>
        <w:tc>
          <w:tcPr>
            <w:tcW w:type="dxa" w:w="3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Existing compare endpoints; layout DOM test</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FR-10</w:t>
            </w:r>
          </w:p>
        </w:tc>
        <w:tc>
          <w:tcPr>
            <w:tcW w:type="dxa" w:w="50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Every UI merge attaches desktop + mobile screenshots of affected states (council rule P3′)</w:t>
            </w:r>
          </w:p>
        </w:tc>
        <w:tc>
          <w:tcPr>
            <w:tcW w:type="dxa" w:w="3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CI artifact check; “visual sign-off pending” is a blocked state</w:t>
            </w:r>
          </w:p>
        </w:tc>
      </w:tr>
    </w:tbl>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5. UX / UI Design Specification — “The Desk”</w:t>
      </w:r>
    </w:p>
    <w:p>
      <w:pPr>
        <w:pStyle w:val="Heading2"/>
        <w:spacing w:after="160" w:before="280"/>
      </w:pPr>
      <w:r>
        <w:rPr>
          <w:rFonts w:ascii="Calibri" w:cs="Calibri" w:eastAsia="Calibri" w:hAnsi="Calibri"/>
          <w:b/>
          <w:bCs/>
          <w:color w:val="1A2332"/>
          <w:sz w:val="27"/>
          <w:szCs w:val="27"/>
        </w:rPr>
        <w:t xml:space="preserve">5.1 Design doctrine (five rules, each with its evidence)</w:t>
      </w:r>
    </w:p>
    <w:p>
      <w:pPr>
        <w:pStyle w:val="ListParagraph"/>
        <w:numPr>
          <w:ilvl w:val="0"/>
          <w:numId w:val="3"/>
        </w:numPr>
        <w:spacing w:after="90" w:line="264"/>
      </w:pPr>
      <w:r>
        <w:rPr>
          <w:rFonts w:ascii="Calibri" w:cs="Calibri" w:eastAsia="Calibri" w:hAnsi="Calibri"/>
          <w:b/>
          <w:bCs/>
          <w:i w:val="false"/>
          <w:iCs w:val="false"/>
          <w:color w:val="1A2332"/>
          <w:sz w:val="22"/>
          <w:szCs w:val="22"/>
        </w:rPr>
        <w:t xml:space="preserve">Progressive disclosure, two levels maximum. </w:t>
      </w:r>
      <w:r>
        <w:rPr>
          <w:rFonts w:ascii="Calibri" w:cs="Calibri" w:eastAsia="Calibri" w:hAnsi="Calibri"/>
          <w:b w:val="false"/>
          <w:bCs w:val="false"/>
          <w:i w:val="false"/>
          <w:iCs w:val="false"/>
          <w:color w:val="1A2332"/>
          <w:sz w:val="22"/>
          <w:szCs w:val="22"/>
        </w:rPr>
        <w:t xml:space="preserve">Show the essential verdict first; reveal specialized depth on request; never exceed two disclosure levels because usability collapses when users get lost between layers (Nielsen/NN⁄g) [S23]. The Desk’s three altitudes respect this: Altitude 2 is the default scroll surface; Altitude 3 (drawers) is the single disclosure step from it; Altitude 1 is not a level but a summary of Altitude 2.</w:t>
      </w:r>
    </w:p>
    <w:p>
      <w:pPr>
        <w:pStyle w:val="ListParagraph"/>
        <w:numPr>
          <w:ilvl w:val="0"/>
          <w:numId w:val="3"/>
        </w:numPr>
        <w:spacing w:after="90" w:line="264"/>
      </w:pPr>
      <w:r>
        <w:rPr>
          <w:rFonts w:ascii="Calibri" w:cs="Calibri" w:eastAsia="Calibri" w:hAnsi="Calibri"/>
          <w:b/>
          <w:bCs/>
          <w:i w:val="false"/>
          <w:iCs w:val="false"/>
          <w:color w:val="1A2332"/>
          <w:sz w:val="22"/>
          <w:szCs w:val="22"/>
        </w:rPr>
        <w:t xml:space="preserve">Chart-first composition. </w:t>
      </w:r>
      <w:r>
        <w:rPr>
          <w:rFonts w:ascii="Calibri" w:cs="Calibri" w:eastAsia="Calibri" w:hAnsi="Calibri"/>
          <w:b w:val="false"/>
          <w:bCs w:val="false"/>
          <w:i w:val="false"/>
          <w:iCs w:val="false"/>
          <w:color w:val="1A2332"/>
          <w:sz w:val="22"/>
          <w:szCs w:val="22"/>
        </w:rPr>
        <w:t xml:space="preserve">Every benchmark leader that professionals praise for feel (TrendSpider, Koyfin) puts the chart at the visual center; the Credibility Audit found FINRLX’s worst screens treated charts as appendices. On the Desk, the regime-shaded price chart is the largest single element above the fold, always.</w:t>
      </w:r>
    </w:p>
    <w:p>
      <w:pPr>
        <w:pStyle w:val="ListParagraph"/>
        <w:numPr>
          <w:ilvl w:val="0"/>
          <w:numId w:val="3"/>
        </w:numPr>
        <w:spacing w:after="90" w:line="264"/>
      </w:pPr>
      <w:r>
        <w:rPr>
          <w:rFonts w:ascii="Calibri" w:cs="Calibri" w:eastAsia="Calibri" w:hAnsi="Calibri"/>
          <w:b/>
          <w:bCs/>
          <w:i w:val="false"/>
          <w:iCs w:val="false"/>
          <w:color w:val="1A2332"/>
          <w:sz w:val="22"/>
          <w:szCs w:val="22"/>
        </w:rPr>
        <w:t xml:space="preserve">Explanation is a first-class object. </w:t>
      </w:r>
      <w:r>
        <w:rPr>
          <w:rFonts w:ascii="Calibri" w:cs="Calibri" w:eastAsia="Calibri" w:hAnsi="Calibri"/>
          <w:b w:val="false"/>
          <w:bCs w:val="false"/>
          <w:i w:val="false"/>
          <w:iCs w:val="false"/>
          <w:color w:val="1A2332"/>
          <w:sz w:val="22"/>
          <w:szCs w:val="22"/>
        </w:rPr>
        <w:t xml:space="preserve">The “How was this calculated?” layered-explanation pattern — short plain-language summary → key contributing factors → full detail — is the documented device for algorithmic transparency [S23-b]. Danelfin’s subscore decomposition, which reviewers rate above its composite score, is the market proof. FINRLX applies it to every automated conclusion.</w:t>
      </w:r>
    </w:p>
    <w:p>
      <w:pPr>
        <w:pStyle w:val="ListParagraph"/>
        <w:numPr>
          <w:ilvl w:val="0"/>
          <w:numId w:val="3"/>
        </w:numPr>
        <w:spacing w:after="90" w:line="264"/>
      </w:pPr>
      <w:r>
        <w:rPr>
          <w:rFonts w:ascii="Calibri" w:cs="Calibri" w:eastAsia="Calibri" w:hAnsi="Calibri"/>
          <w:b/>
          <w:bCs/>
          <w:i w:val="false"/>
          <w:iCs w:val="false"/>
          <w:color w:val="1A2332"/>
          <w:sz w:val="22"/>
          <w:szCs w:val="22"/>
        </w:rPr>
        <w:t xml:space="preserve">Human names, never feature keys. </w:t>
      </w:r>
      <w:r>
        <w:rPr>
          <w:rFonts w:ascii="Calibri" w:cs="Calibri" w:eastAsia="Calibri" w:hAnsi="Calibri"/>
          <w:b w:val="false"/>
          <w:bCs w:val="false"/>
          <w:i w:val="false"/>
          <w:iCs w:val="false"/>
          <w:color w:val="1A2332"/>
          <w:sz w:val="22"/>
          <w:szCs w:val="22"/>
        </w:rPr>
        <w:t xml:space="preserve">“5-day return,” never return_5d. Monospace identifiers leaking into user-facing UI was Credibility Audit Finding D; the Desk bans raw keys by lint rule on the component layer.</w:t>
      </w:r>
    </w:p>
    <w:p>
      <w:pPr>
        <w:pStyle w:val="ListParagraph"/>
        <w:numPr>
          <w:ilvl w:val="0"/>
          <w:numId w:val="3"/>
        </w:numPr>
        <w:spacing w:after="90" w:line="264"/>
      </w:pPr>
      <w:r>
        <w:rPr>
          <w:rFonts w:ascii="Calibri" w:cs="Calibri" w:eastAsia="Calibri" w:hAnsi="Calibri"/>
          <w:b/>
          <w:bCs/>
          <w:i w:val="false"/>
          <w:iCs w:val="false"/>
          <w:color w:val="1A2332"/>
          <w:sz w:val="22"/>
          <w:szCs w:val="22"/>
        </w:rPr>
        <w:t xml:space="preserve">Honest emptiness, designed. </w:t>
      </w:r>
      <w:r>
        <w:rPr>
          <w:rFonts w:ascii="Calibri" w:cs="Calibri" w:eastAsia="Calibri" w:hAnsi="Calibri"/>
          <w:b w:val="false"/>
          <w:bCs w:val="false"/>
          <w:i w:val="false"/>
          <w:iCs w:val="false"/>
          <w:color w:val="1A2332"/>
          <w:sz w:val="22"/>
          <w:szCs w:val="22"/>
        </w:rPr>
        <w:t xml:space="preserve">Empty states explain and offer an action; a wall of placeholders never renders (K1 doctrine, now a tested invariant). Loading states are skeletons shaped like their content; error states name the failing source and expose the data-health probe.</w:t>
      </w:r>
    </w:p>
    <w:p>
      <w:pPr>
        <w:pStyle w:val="Heading2"/>
        <w:spacing w:after="160" w:before="280"/>
      </w:pPr>
      <w:r>
        <w:rPr>
          <w:rFonts w:ascii="Calibri" w:cs="Calibri" w:eastAsia="Calibri" w:hAnsi="Calibri"/>
          <w:b/>
          <w:bCs/>
          <w:color w:val="1A2332"/>
          <w:sz w:val="27"/>
          <w:szCs w:val="27"/>
        </w:rPr>
        <w:t xml:space="preserve">5.2 Information architecture — three altitudes on one screen</w:t>
      </w:r>
    </w:p>
    <w:p>
      <w:pPr>
        <w:spacing w:after="0" w:before="0" w:line="220"/>
      </w:pPr>
      <w:r>
        <w:rPr>
          <w:rFonts w:ascii="Consolas" w:cs="Consolas" w:eastAsia="Consolas" w:hAnsi="Consolas"/>
          <w:color w:val="1A2332"/>
          <w:sz w:val="16"/>
          <w:szCs w:val="16"/>
        </w:rPr>
        <w:t xml:space="preserve">┌─ ALTITUDE 1 · VERDICT (sticky header band) ─────────────────────────┐</w:t>
      </w:r>
    </w:p>
    <w:p>
      <w:pPr>
        <w:spacing w:after="0" w:before="0" w:line="220"/>
      </w:pPr>
      <w:r>
        <w:rPr>
          <w:rFonts w:ascii="Consolas" w:cs="Consolas" w:eastAsia="Consolas" w:hAnsi="Consolas"/>
          <w:color w:val="1A2332"/>
          <w:sz w:val="16"/>
          <w:szCs w:val="16"/>
        </w:rPr>
        <w:t xml:space="preserve">│ UMC · United Microelectronics        25.83 USD · fresh 09:41  [⚠ 2 alerts]│</w:t>
      </w:r>
    </w:p>
    <w:p>
      <w:pPr>
        <w:spacing w:after="0" w:before="0" w:line="220"/>
      </w:pPr>
      <w:r>
        <w:rPr>
          <w:rFonts w:ascii="Consolas" w:cs="Consolas" w:eastAsia="Consolas" w:hAnsi="Consolas"/>
          <w:color w:val="1A2332"/>
          <w:sz w:val="16"/>
          <w:szCs w:val="16"/>
        </w:rPr>
        <w:t xml:space="preserve">│ Research stance: CONSTRUCTIVE (confidence: moderate · evidence: 5/6 · age: 2h)│</w:t>
      </w:r>
    </w:p>
    <w:p>
      <w:pPr>
        <w:spacing w:after="0" w:before="0" w:line="220"/>
      </w:pPr>
      <w:r>
        <w:rPr>
          <w:rFonts w:ascii="Consolas" w:cs="Consolas" w:eastAsia="Consolas" w:hAnsi="Consolas"/>
          <w:color w:val="1A2332"/>
          <w:sz w:val="16"/>
          <w:szCs w:val="16"/>
        </w:rPr>
        <w:t xml:space="preserve">│ [Technical ●] [Model ●] [News ●] [Social ◐] [Fundamentals ●] [Sector ●]   │</w:t>
      </w:r>
    </w:p>
    <w:p>
      <w:pPr>
        <w:spacing w:after="0" w:before="0" w:line="220"/>
      </w:pPr>
      <w:r>
        <w:rPr>
          <w:rFonts w:ascii="Consolas" w:cs="Consolas" w:eastAsia="Consolas" w:hAnsi="Consolas"/>
          <w:color w:val="1A2332"/>
          <w:sz w:val="16"/>
          <w:szCs w:val="16"/>
        </w:rPr>
        <w:t xml:space="preserve">├─ HERO CHART ──────────────────────────────────────────────────┤</w:t>
      </w:r>
    </w:p>
    <w:p>
      <w:pPr>
        <w:spacing w:after="0" w:before="0" w:line="220"/>
      </w:pPr>
      <w:r>
        <w:rPr>
          <w:rFonts w:ascii="Consolas" w:cs="Consolas" w:eastAsia="Consolas" w:hAnsi="Consolas"/>
          <w:color w:val="1A2332"/>
          <w:sz w:val="16"/>
          <w:szCs w:val="16"/>
        </w:rPr>
        <w:t xml:space="preserve">│ Price · 3y · regime bands (uptrend/neutral/risk-off shading)               │</w:t>
      </w:r>
    </w:p>
    <w:p>
      <w:pPr>
        <w:spacing w:after="0" w:before="0" w:line="220"/>
      </w:pPr>
      <w:r>
        <w:rPr>
          <w:rFonts w:ascii="Consolas" w:cs="Consolas" w:eastAsia="Consolas" w:hAnsi="Consolas"/>
          <w:color w:val="1A2332"/>
          <w:sz w:val="16"/>
          <w:szCs w:val="16"/>
        </w:rPr>
        <w:t xml:space="preserve">│ ▲ evidence-linked event markers (news · filings · insider · rebalance)     │</w:t>
      </w:r>
    </w:p>
    <w:p>
      <w:pPr>
        <w:spacing w:after="0" w:before="0" w:line="220"/>
      </w:pPr>
      <w:r>
        <w:rPr>
          <w:rFonts w:ascii="Consolas" w:cs="Consolas" w:eastAsia="Consolas" w:hAnsi="Consolas"/>
          <w:color w:val="1A2332"/>
          <w:sz w:val="16"/>
          <w:szCs w:val="16"/>
        </w:rPr>
        <w:t xml:space="preserve">│ SPY rebased overlay (omitted honestly when unavailable)                    │</w:t>
      </w:r>
    </w:p>
    <w:p>
      <w:pPr>
        <w:spacing w:after="0" w:before="0" w:line="220"/>
      </w:pPr>
      <w:r>
        <w:rPr>
          <w:rFonts w:ascii="Consolas" w:cs="Consolas" w:eastAsia="Consolas" w:hAnsi="Consolas"/>
          <w:color w:val="1A2332"/>
          <w:sz w:val="16"/>
          <w:szCs w:val="16"/>
        </w:rPr>
        <w:t xml:space="preserve">├─ ALTITUDE 2 · EVIDENCE (six streamed panels, 2-col grid) ──────────────┤</w:t>
      </w:r>
    </w:p>
    <w:p>
      <w:pPr>
        <w:spacing w:after="0" w:before="0" w:line="220"/>
      </w:pPr>
      <w:r>
        <w:rPr>
          <w:rFonts w:ascii="Consolas" w:cs="Consolas" w:eastAsia="Consolas" w:hAnsi="Consolas"/>
          <w:color w:val="1A2332"/>
          <w:sz w:val="16"/>
          <w:szCs w:val="16"/>
        </w:rPr>
        <w:t xml:space="preserve">│ A TECHNICAL SIGNALS        │ B MODEL TOURNAMENT ARENA                      │</w:t>
      </w:r>
    </w:p>
    <w:p>
      <w:pPr>
        <w:spacing w:after="0" w:before="0" w:line="220"/>
      </w:pPr>
      <w:r>
        <w:rPr>
          <w:rFonts w:ascii="Consolas" w:cs="Consolas" w:eastAsia="Consolas" w:hAnsi="Consolas"/>
          <w:color w:val="1A2332"/>
          <w:sz w:val="16"/>
          <w:szCs w:val="16"/>
        </w:rPr>
        <w:t xml:space="preserve">│ C NEWS &amp; SENTIMENT         │ D SOCIAL PULSE                                │</w:t>
      </w:r>
    </w:p>
    <w:p>
      <w:pPr>
        <w:spacing w:after="0" w:before="0" w:line="220"/>
      </w:pPr>
      <w:r>
        <w:rPr>
          <w:rFonts w:ascii="Consolas" w:cs="Consolas" w:eastAsia="Consolas" w:hAnsi="Consolas"/>
          <w:color w:val="1A2332"/>
          <w:sz w:val="16"/>
          <w:szCs w:val="16"/>
        </w:rPr>
        <w:t xml:space="preserve">│ E FUNDAMENTALS &amp; FILINGS   │ F SECTOR CONTEXT                              │</w:t>
      </w:r>
    </w:p>
    <w:p>
      <w:pPr>
        <w:spacing w:after="0" w:before="0" w:line="220"/>
      </w:pPr>
      <w:r>
        <w:rPr>
          <w:rFonts w:ascii="Consolas" w:cs="Consolas" w:eastAsia="Consolas" w:hAnsi="Consolas"/>
          <w:color w:val="1A2332"/>
          <w:sz w:val="16"/>
          <w:szCs w:val="16"/>
        </w:rPr>
        <w:t xml:space="preserve">├─ ALTITUDE 3 · FORENSICS (drawers over the grid, never navigation away) ───┤</w:t>
      </w:r>
    </w:p>
    <w:p>
      <w:pPr>
        <w:spacing w:after="0" w:before="0" w:line="220"/>
      </w:pPr>
      <w:r>
        <w:rPr>
          <w:rFonts w:ascii="Consolas" w:cs="Consolas" w:eastAsia="Consolas" w:hAnsi="Consolas"/>
          <w:color w:val="1A2332"/>
          <w:sz w:val="16"/>
          <w:szCs w:val="16"/>
        </w:rPr>
        <w:t xml:space="preserve">│ “How was this computed?” · full scoreboards · provenance · raw matrices    │</w:t>
      </w:r>
    </w:p>
    <w:p>
      <w:pPr>
        <w:spacing w:after="0" w:before="0" w:line="220"/>
      </w:pPr>
      <w:r>
        <w:rPr>
          <w:rFonts w:ascii="Consolas" w:cs="Consolas" w:eastAsia="Consolas" w:hAnsi="Consolas"/>
          <w:color w:val="1A2332"/>
          <w:sz w:val="16"/>
          <w:szCs w:val="16"/>
        </w:rPr>
        <w:t xml:space="preserve">└─────────────────────────────────────────────────────────────────────────┘</w:t>
      </w:r>
    </w:p>
    <w:p>
      <w:pPr>
        <w:spacing w:after="160"/>
      </w:pPr>
    </w:p>
    <w:p>
      <w:pPr>
        <w:spacing w:after="160" w:before="0" w:line="276"/>
        <w:jc w:val="both"/>
      </w:pPr>
      <w:r>
        <w:rPr>
          <w:rFonts w:ascii="Calibri" w:cs="Calibri" w:eastAsia="Calibri" w:hAnsi="Calibri"/>
          <w:b/>
          <w:bCs/>
          <w:i w:val="false"/>
          <w:iCs w:val="false"/>
          <w:color w:val="1A2332"/>
          <w:sz w:val="22"/>
          <w:szCs w:val="22"/>
        </w:rPr>
        <w:t xml:space="preserve">Route: </w:t>
      </w:r>
      <w:r>
        <w:rPr>
          <w:rFonts w:ascii="Calibri" w:cs="Calibri" w:eastAsia="Calibri" w:hAnsi="Calibri"/>
          <w:b w:val="false"/>
          <w:bCs w:val="false"/>
          <w:i w:val="false"/>
          <w:iCs w:val="false"/>
          <w:color w:val="1A2332"/>
          <w:sz w:val="22"/>
          <w:szCs w:val="22"/>
        </w:rPr>
        <w:t xml:space="preserve">/pro/desk/[ticker] evolves into this specification (the A5 skeleton already streams 10 sections; the redesign consolidates them into the six panels and adds the Verdict band). A mini-map rail on desktop provides jump navigation; drill-ins are drawers/overlays, never route changes (Decision D31 carried forward).</w:t>
      </w:r>
    </w:p>
    <w:p>
      <w:pPr>
        <w:pStyle w:val="Heading2"/>
        <w:spacing w:after="160" w:before="280"/>
      </w:pPr>
      <w:r>
        <w:rPr>
          <w:rFonts w:ascii="Calibri" w:cs="Calibri" w:eastAsia="Calibri" w:hAnsi="Calibri"/>
          <w:b/>
          <w:bCs/>
          <w:color w:val="1A2332"/>
          <w:sz w:val="27"/>
          <w:szCs w:val="27"/>
        </w:rPr>
        <w:t xml:space="preserve">5.3 Altitude 1 — the Verdict Layer, element by element</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1800"/>
        <w:gridCol w:w="4160"/>
        <w:gridCol w:w="3400"/>
      </w:tblGrid>
      <w:tr>
        <w:trPr>
          <w:tblHeader/>
        </w:trPr>
        <w:tc>
          <w:tcPr>
            <w:tcW w:type="dxa" w:w="18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Element</w:t>
            </w:r>
          </w:p>
        </w:tc>
        <w:tc>
          <w:tcPr>
            <w:tcW w:type="dxa" w:w="41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Content contract</w:t>
            </w:r>
          </w:p>
        </w:tc>
        <w:tc>
          <w:tcPr>
            <w:tcW w:type="dxa" w:w="34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Backing engine / endpoint</w:t>
            </w:r>
          </w:p>
        </w:tc>
      </w:tr>
      <w:tr>
        <w:tc>
          <w:tcPr>
            <w:tcW w:type="dxa" w:w="18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Identity strip</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Ticker, name, exchange; last price with freshness timestamp and serving-source badge on hover (“yfinance · 300 bars · full coverage”)</w:t>
            </w:r>
          </w:p>
        </w:tc>
        <w:tc>
          <w:tcPr>
            <w:tcW w:type="dxa" w:w="3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chain provider provenance; /prices/freshness</w:t>
            </w:r>
          </w:p>
        </w:tc>
      </w:tr>
      <w:tr>
        <w:tc>
          <w:tcPr>
            <w:tcW w:type="dxa" w:w="18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Research stance chip</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One of the fixed research vocabulary states + confidence trio (confidence / evidence coverage / age). Never an advice verb. Click → stance methodology drawer</w:t>
            </w:r>
          </w:p>
        </w:tc>
        <w:tc>
          <w:tcPr>
            <w:tcW w:type="dxa" w:w="34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dossier stance (byte-identity regression-protected)</w:t>
            </w:r>
          </w:p>
        </w:tc>
      </w:tr>
      <w:tr>
        <w:tc>
          <w:tcPr>
            <w:tcW w:type="dxa" w:w="18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Six engine dials</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One dial per Evidence panel: filled = live · half = degraded/fallback (labeled) · hollow = unavailable-with-reason. The dial row IS the product’s honesty at a glance — competitors show only their successes</w:t>
            </w:r>
          </w:p>
        </w:tc>
        <w:tc>
          <w:tcPr>
            <w:tcW w:type="dxa" w:w="3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per-section status from D42 endpoints + /ops/data-health</w:t>
            </w:r>
          </w:p>
        </w:tc>
      </w:tr>
      <w:tr>
        <w:tc>
          <w:tcPr>
            <w:tcW w:type="dxa" w:w="18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Alert badges</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Material-change incidents since last visit: regime flip, tournament winner change, sentiment swing</w:t>
            </w:r>
          </w:p>
        </w:tc>
        <w:tc>
          <w:tcPr>
            <w:tcW w:type="dxa" w:w="34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S8 incidents via A6 surfacing</w:t>
            </w:r>
          </w:p>
        </w:tc>
      </w:tr>
      <w:tr>
        <w:tc>
          <w:tcPr>
            <w:tcW w:type="dxa" w:w="18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Hero chart</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3y daily, regime band shading, evidence-linked event markers (each marker click → its source document), SPY rebased overlay when real</w:t>
            </w:r>
          </w:p>
        </w:tc>
        <w:tc>
          <w:tcPr>
            <w:tcW w:type="dxa" w:w="3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desk_payload.regime_band_series, event_markers; K1 pricechart</w:t>
            </w:r>
          </w:p>
        </w:tc>
      </w:tr>
    </w:tbl>
    <w:p>
      <w:pPr>
        <w:pStyle w:val="Heading2"/>
        <w:spacing w:after="160" w:before="280"/>
      </w:pPr>
      <w:r>
        <w:rPr>
          <w:rFonts w:ascii="Calibri" w:cs="Calibri" w:eastAsia="Calibri" w:hAnsi="Calibri"/>
          <w:b/>
          <w:bCs/>
          <w:color w:val="1A2332"/>
          <w:sz w:val="27"/>
          <w:szCs w:val="27"/>
        </w:rPr>
        <w:t xml:space="preserve">5.4 Altitude 2 — the six Evidence panels</w:t>
      </w:r>
    </w:p>
    <w:p>
      <w:pPr>
        <w:pStyle w:val="Heading3"/>
        <w:spacing w:after="120" w:before="220"/>
      </w:pPr>
      <w:r>
        <w:rPr>
          <w:rFonts w:ascii="Calibri" w:cs="Calibri" w:eastAsia="Calibri" w:hAnsi="Calibri"/>
          <w:b/>
          <w:bCs/>
          <w:color w:val="0E7C7B"/>
          <w:sz w:val="23"/>
          <w:szCs w:val="23"/>
        </w:rPr>
        <w:t xml:space="preserve">A · Technical Signals — “which indicators matter for this stock right now”</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Signal matrix rendered as a heat-ranked list: human-named signal, current value, percentile-vs-own-history bar (the “is this unusual for THIS stock” answer), 60-session sparkline, plain-language read (“volatility in its 91st percentile — elevated”).</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Top-3 “signals that matter now” are auto-elevated by percentile extremity + regime relevance — this is the operator’s “best indicators” requirement, made literal and defensible.</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Percentiles with &lt;252 sessions of history are omitted with an “insufficient history” note per engine contract — the UI renders the note, never a dash.</w:t>
      </w:r>
    </w:p>
    <w:p>
      <w:pPr>
        <w:pStyle w:val="Heading3"/>
        <w:spacing w:after="120" w:before="220"/>
      </w:pPr>
      <w:r>
        <w:rPr>
          <w:rFonts w:ascii="Calibri" w:cs="Calibri" w:eastAsia="Calibri" w:hAnsi="Calibri"/>
          <w:b/>
          <w:bCs/>
          <w:color w:val="0E7C7B"/>
          <w:sz w:val="23"/>
          <w:szCs w:val="23"/>
        </w:rPr>
        <w:t xml:space="preserve">B · Model Tournament Arena — the differentiator panel</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Winner card: model name in plain language (“Regime-filtered momentum”), validation Sharpe, and the one-line why (“won on out-of-sample stability; ML candidate scored higher in-sample but was penalized for divergence”).</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Scoreboard: every candidate — heuristic pack, ML forecaster, RL agents — with validation-vs-train divergence and overfitting penalty as visible columns. Ties break toward simplicity and the UI says so.</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Walk-forward timeline: the split_windows visualization — train/validation ranges drawn on the price timeline, so the investor sees the evidence protocol, not just its verdict.</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Selection history: how the winner has changed over past runs (Trade Ideas’ published-track-record precedent, applied to model selection).</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RL candidates when E7 is offline: </w:t>
      </w:r>
      <w:r>
        <w:rPr>
          <w:rFonts w:ascii="Calibri" w:cs="Calibri" w:eastAsia="Calibri" w:hAnsi="Calibri"/>
          <w:b w:val="false"/>
          <w:bCs w:val="false"/>
          <w:i w:val="false"/>
          <w:iCs w:val="false"/>
          <w:color w:val="1A2332"/>
          <w:sz w:val="22"/>
          <w:szCs w:val="22"/>
        </w:rPr>
        <w:t xml:space="preserve">a visibly distinct “research queue” card — “PPO/A2C candidates queued for the research worker; tournament completed with 2 of 3 legs” — honest copy verbatim from the D35 fallback contract.</w:t>
      </w:r>
    </w:p>
    <w:p>
      <w:pPr>
        <w:pStyle w:val="Heading3"/>
        <w:spacing w:after="120" w:before="220"/>
      </w:pPr>
      <w:r>
        <w:rPr>
          <w:rFonts w:ascii="Calibri" w:cs="Calibri" w:eastAsia="Calibri" w:hAnsi="Calibri"/>
          <w:b/>
          <w:bCs/>
          <w:color w:val="0E7C7B"/>
          <w:sz w:val="23"/>
          <w:szCs w:val="23"/>
        </w:rPr>
        <w:t xml:space="preserve">C · News &amp; Sentiment — lane one</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Sentiment tape (30d) with per-article evidence chips; each chip opens the source with the annotated “why this matters” when the flag is live.</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Aggregation is honest about volume: “7-day news count: 3 — thin coverage” is a rendered state, not a hidden one.</w:t>
      </w:r>
    </w:p>
    <w:p>
      <w:pPr>
        <w:pStyle w:val="Heading3"/>
        <w:spacing w:after="120" w:before="220"/>
      </w:pPr>
      <w:r>
        <w:rPr>
          <w:rFonts w:ascii="Calibri" w:cs="Calibri" w:eastAsia="Calibri" w:hAnsi="Calibri"/>
          <w:b/>
          <w:bCs/>
          <w:color w:val="0E7C7B"/>
          <w:sz w:val="23"/>
          <w:szCs w:val="23"/>
        </w:rPr>
        <w:t xml:space="preserve">D · Social Pulse — lane two, always labeled</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Per-platform mention volume and, when E8 is active, scored sentiment; when E8 is absent, the labeled mentions-only fallback renders with its limitation stated inline.</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Divergence flag: </w:t>
      </w:r>
      <w:r>
        <w:rPr>
          <w:rFonts w:ascii="Calibri" w:cs="Calibri" w:eastAsia="Calibri" w:hAnsi="Calibri"/>
          <w:b w:val="false"/>
          <w:bCs w:val="false"/>
          <w:i w:val="false"/>
          <w:iCs w:val="false"/>
          <w:color w:val="1A2332"/>
          <w:sz w:val="22"/>
          <w:szCs w:val="22"/>
        </w:rPr>
        <w:t xml:space="preserve">when news-lane and social-lane signs disagree beyond threshold, a flag card states both values and the disagreement — the single most professional-feeling artifact of the dual-lane architecture, and unique in the surveyed market at this price class.</w:t>
      </w:r>
    </w:p>
    <w:p>
      <w:pPr>
        <w:pStyle w:val="Heading3"/>
        <w:spacing w:after="120" w:before="220"/>
      </w:pPr>
      <w:r>
        <w:rPr>
          <w:rFonts w:ascii="Calibri" w:cs="Calibri" w:eastAsia="Calibri" w:hAnsi="Calibri"/>
          <w:b/>
          <w:bCs/>
          <w:color w:val="0E7C7B"/>
          <w:sz w:val="23"/>
          <w:szCs w:val="23"/>
        </w:rPr>
        <w:t xml:space="preserve">E · Fundamentals &amp; Filings</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XBRL trend rows (revenue, margins, EPS) as compact spark-tables with period labels; filings-tone delta and insider-MSPR as signal chips with drill-through to the underlying filing.</w:t>
      </w:r>
    </w:p>
    <w:p>
      <w:pPr>
        <w:pStyle w:val="Heading3"/>
        <w:spacing w:after="120" w:before="220"/>
      </w:pPr>
      <w:r>
        <w:rPr>
          <w:rFonts w:ascii="Calibri" w:cs="Calibri" w:eastAsia="Calibri" w:hAnsi="Calibri"/>
          <w:b/>
          <w:bCs/>
          <w:color w:val="0E7C7B"/>
          <w:sz w:val="23"/>
          <w:szCs w:val="23"/>
        </w:rPr>
        <w:t xml:space="preserve">F · Sector Context</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Ticker vs SPY rebased (existing, real); Wave-2 addition: sector-peer relative strength and percentile rank within sector — the one genuinely new module (§3.3), scoped small.</w:t>
      </w:r>
    </w:p>
    <w:p>
      <w:pPr>
        <w:pStyle w:val="Heading2"/>
        <w:spacing w:after="160" w:before="280"/>
      </w:pPr>
      <w:r>
        <w:rPr>
          <w:rFonts w:ascii="Calibri" w:cs="Calibri" w:eastAsia="Calibri" w:hAnsi="Calibri"/>
          <w:b/>
          <w:bCs/>
          <w:color w:val="1A2332"/>
          <w:sz w:val="27"/>
          <w:szCs w:val="27"/>
        </w:rPr>
        <w:t xml:space="preserve">5.5 Altitude 3 — the Forensic drawers</w:t>
      </w:r>
    </w:p>
    <w:p>
      <w:pPr>
        <w:spacing w:after="160" w:before="0" w:line="276"/>
        <w:jc w:val="both"/>
      </w:pPr>
      <w:r>
        <w:rPr>
          <w:rFonts w:ascii="Calibri" w:cs="Calibri" w:eastAsia="Calibri" w:hAnsi="Calibri"/>
          <w:b w:val="false"/>
          <w:bCs w:val="false"/>
          <w:i w:val="false"/>
          <w:iCs w:val="false"/>
          <w:color w:val="1A2332"/>
          <w:sz w:val="22"/>
          <w:szCs w:val="22"/>
        </w:rPr>
        <w:t xml:space="preserve">Every panel’s “How was this computed?” opens a right-side drawer with a fixed three-part anatomy implementing the layered-explanation pattern: (1) Plain summary — two sentences a non-technologist reads; (2) Contributing factors — the inputs and their weights/thresholds, human-named; (3) Full detail — methodology text, data sources with per-source freshness and coverage, links to raw payloads. The drawer footer always shows the provenance line: source chain, dataset fingerprint, computation timestamp. This drawer is where FINRLX’s governance layer becomes a visible product feature rather than a compliance artifact.</w:t>
      </w:r>
    </w:p>
    <w:p>
      <w:pPr>
        <w:pStyle w:val="Heading2"/>
        <w:spacing w:after="160" w:before="280"/>
      </w:pPr>
      <w:r>
        <w:rPr>
          <w:rFonts w:ascii="Calibri" w:cs="Calibri" w:eastAsia="Calibri" w:hAnsi="Calibri"/>
          <w:b/>
          <w:bCs/>
          <w:color w:val="1A2332"/>
          <w:sz w:val="27"/>
          <w:szCs w:val="27"/>
        </w:rPr>
        <w:t xml:space="preserve">5.6 Visual system</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1500"/>
        <w:gridCol w:w="4560"/>
        <w:gridCol w:w="3300"/>
      </w:tblGrid>
      <w:tr>
        <w:trPr>
          <w:tblHeader/>
        </w:trPr>
        <w:tc>
          <w:tcPr>
            <w:tcW w:type="dxa" w:w="15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Token domain</w:t>
            </w:r>
          </w:p>
        </w:tc>
        <w:tc>
          <w:tcPr>
            <w:tcW w:type="dxa" w:w="45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Specification</w:t>
            </w:r>
          </w:p>
        </w:tc>
        <w:tc>
          <w:tcPr>
            <w:tcW w:type="dxa" w:w="33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Rationale</w:t>
            </w:r>
          </w:p>
        </w:tc>
      </w:tr>
      <w:tr>
        <w:tc>
          <w:tcPr>
            <w:tcW w:type="dxa" w:w="1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Typography</w:t>
            </w:r>
          </w:p>
        </w:tc>
        <w:tc>
          <w:tcPr>
            <w:tcW w:type="dxa" w:w="4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Two-scale system: UI Inter/system stack; numerics in tabular-lining figures everywhere data appears. Scale: 28/20/16/14/12px with 1.45 line height; no more than two weights per surface</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Credibility Audit RC4: typographic scale is a decided artifact, not an emergent one</w:t>
            </w:r>
          </w:p>
        </w:tc>
      </w:tr>
      <w:tr>
        <w:tc>
          <w:tcPr>
            <w:tcW w:type="dxa" w:w="1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Color</w:t>
            </w:r>
          </w:p>
        </w:tc>
        <w:tc>
          <w:tcPr>
            <w:tcW w:type="dxa" w:w="4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One accent (deep teal 0E7C7B) + semantic trio (constructive green / cautious amber / risk red used ONLY for stance semantics, never decoration); neutral slate ramp for chrome; dark-mode-first with light parity</w:t>
            </w:r>
          </w:p>
        </w:tc>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Professional density needs chromatic quiet; semantic color must stay trustworthy</w:t>
            </w:r>
          </w:p>
        </w:tc>
      </w:tr>
      <w:tr>
        <w:tc>
          <w:tcPr>
            <w:tcW w:type="dxa" w:w="1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Data-viz</w:t>
            </w:r>
          </w:p>
        </w:tc>
        <w:tc>
          <w:tcPr>
            <w:tcW w:type="dxa" w:w="4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Regime shading at 8% opacity bands; sparklines single-weight; percentile bars monochrome with threshold ticks; dials as quarter-arcs with state legend</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Danelfin dial legibility + TrendSpider chart density, without their chrome noise</w:t>
            </w:r>
          </w:p>
        </w:tc>
      </w:tr>
      <w:tr>
        <w:tc>
          <w:tcPr>
            <w:tcW w:type="dxa" w:w="15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Density</w:t>
            </w:r>
          </w:p>
        </w:tc>
        <w:tc>
          <w:tcPr>
            <w:tcW w:type="dxa" w:w="4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8px base grid; panels 2-col ≥1280px, 1-col below; mini-map rail ≥1440px; mobile: Verdict layer + accordion panels (NN⁄g mobile deferral)</w:t>
            </w:r>
          </w:p>
        </w:tc>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The persona works on a 27″ desk monitor and checks from a phone</w:t>
            </w:r>
          </w:p>
        </w:tc>
      </w:tr>
      <w:tr>
        <w:tc>
          <w:tcPr>
            <w:tcW w:type="dxa" w:w="15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Motion</w:t>
            </w:r>
          </w:p>
        </w:tc>
        <w:tc>
          <w:tcPr>
            <w:tcW w:type="dxa" w:w="4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Streaming skeletons → content crossfade 150ms; drawer slide 200ms; zero decorative animation</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Motion communicates data arrival, nothing else</w:t>
            </w:r>
          </w:p>
        </w:tc>
      </w:tr>
    </w:tbl>
    <w:p>
      <w:pPr>
        <w:pStyle w:val="Heading2"/>
        <w:spacing w:after="160" w:before="280"/>
      </w:pPr>
      <w:r>
        <w:rPr>
          <w:rFonts w:ascii="Calibri" w:cs="Calibri" w:eastAsia="Calibri" w:hAnsi="Calibri"/>
          <w:b/>
          <w:bCs/>
          <w:color w:val="1A2332"/>
          <w:sz w:val="27"/>
          <w:szCs w:val="27"/>
        </w:rPr>
        <w:t xml:space="preserve">5.7 State design — the screens nobody designs and everybody judges</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2400"/>
        <w:gridCol w:w="6960"/>
      </w:tblGrid>
      <w:tr>
        <w:trPr>
          <w:tblHeader/>
        </w:trPr>
        <w:tc>
          <w:tcPr>
            <w:tcW w:type="dxa" w:w="24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State</w:t>
            </w:r>
          </w:p>
        </w:tc>
        <w:tc>
          <w:tcPr>
            <w:tcW w:type="dxa" w:w="69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Design contract</w:t>
            </w:r>
          </w:p>
        </w:tc>
      </w:tr>
      <w:tr>
        <w:tc>
          <w:tcPr>
            <w:tcW w:type="dxa" w:w="2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Cold run (first research of a ticker)</w:t>
            </w:r>
          </w:p>
        </w:tc>
        <w:tc>
          <w:tcPr>
            <w:tcW w:type="dxa" w:w="6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Staged progress with real stage names (ingest → enrich → features → tournament → dossier) and per-stage checkmarks from the job poller; hero chart appears the moment prices land, panels stream in as their sections complete — the assembly IS the product demo</w:t>
            </w:r>
          </w:p>
        </w:tc>
      </w:tr>
      <w:tr>
        <w:tc>
          <w:tcPr>
            <w:tcW w:type="dxa" w:w="24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Warm cache</w:t>
            </w:r>
          </w:p>
        </w:tc>
        <w:tc>
          <w:tcPr>
            <w:tcW w:type="dxa" w:w="6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Full Verdict + Evidence within budget; freshness stamps show dossier age; stale sections show a quiet revalidation shimmer (A6 engine)</w:t>
            </w:r>
          </w:p>
        </w:tc>
      </w:tr>
      <w:tr>
        <w:tc>
          <w:tcPr>
            <w:tcW w:type="dxa" w:w="2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Degraded data</w:t>
            </w:r>
          </w:p>
        </w:tc>
        <w:tc>
          <w:tcPr>
            <w:tcW w:type="dxa" w:w="6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Per-panel: the K1 empty-state card naming the source and the cure (“Signals need 60 more sessions from stooq; yfinance returned thin coverage — details”); dial row shows half-fill; /ops/data-health one click away</w:t>
            </w:r>
          </w:p>
        </w:tc>
      </w:tr>
      <w:tr>
        <w:tc>
          <w:tcPr>
            <w:tcW w:type="dxa" w:w="24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Provider failure</w:t>
            </w:r>
          </w:p>
        </w:tc>
        <w:tc>
          <w:tcPr>
            <w:tcW w:type="dxa" w:w="6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Hero chart renders no curve; a single card names the chain state; the rest of the desk continues — partial truth beats total fiction</w:t>
            </w:r>
          </w:p>
        </w:tc>
      </w:tr>
      <w:tr>
        <w:tc>
          <w:tcPr>
            <w:tcW w:type="dxa" w:w="24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E7/E8 gated</w:t>
            </w:r>
          </w:p>
        </w:tc>
        <w:tc>
          <w:tcPr>
            <w:tcW w:type="dxa" w:w="6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Research-queue cards with the honest copy contracts; visually distinct (dashed border) so absence is never mistaken for failure</w:t>
            </w:r>
          </w:p>
        </w:tc>
      </w:tr>
    </w:tbl>
    <w:p>
      <w:pPr>
        <w:spacing w:after="160"/>
      </w:pPr>
    </w:p>
    <w:tbl>
      <w:tblPr>
        <w:tblW w:type="dxa" w:w="9360"/>
        <w:tblBorders>
          <w:top w:val="single" w:color="0E7C7B" w:sz="6"/>
          <w:left w:val="single" w:color="0E7C7B" w:sz="12"/>
          <w:bottom w:val="single" w:color="0E7C7B" w:sz="6"/>
          <w:right w:val="single" w:color="0E7C7B" w:sz="6"/>
          <w:insideH w:val="single" w:color="auto" w:sz="4"/>
          <w:insideV w:val="single" w:color="auto" w:sz="4"/>
        </w:tblBorders>
      </w:tblPr>
      <w:tblGrid>
        <w:gridCol w:w="9360"/>
      </w:tblGrid>
      <w:tr>
        <w:tc>
          <w:tcPr>
            <w:tcW w:type="dxa" w:w="9360"/>
            <w:shd w:fill="EAF5EF" w:val="clear"/>
            <w:tcMar>
              <w:top w:type="dxa" w:w="120"/>
              <w:left w:type="dxa" w:w="160"/>
              <w:bottom w:type="dxa" w:w="120"/>
              <w:right w:type="dxa" w:w="160"/>
            </w:tcMar>
          </w:tcPr>
          <w:p>
            <w:pPr>
              <w:spacing w:after="80"/>
            </w:pPr>
            <w:r>
              <w:rPr>
                <w:rFonts w:ascii="Calibri" w:cs="Calibri" w:eastAsia="Calibri" w:hAnsi="Calibri"/>
                <w:b/>
                <w:bCs/>
                <w:i w:val="false"/>
                <w:iCs w:val="false"/>
                <w:color w:val="1F4E79"/>
                <w:sz w:val="21"/>
                <w:szCs w:val="21"/>
              </w:rPr>
              <w:t xml:space="preserve">What “professional and innovative” means here, operationally</w:t>
            </w:r>
          </w:p>
          <w:p>
            <w:pPr>
              <w:spacing w:after="0"/>
              <w:jc w:val="both"/>
            </w:pPr>
            <w:r>
              <w:rPr>
                <w:rFonts w:ascii="Calibri" w:cs="Calibri" w:eastAsia="Calibri" w:hAnsi="Calibri"/>
                <w:b w:val="false"/>
                <w:bCs w:val="false"/>
                <w:i w:val="false"/>
                <w:iCs w:val="false"/>
                <w:color w:val="1A2332"/>
                <w:sz w:val="20"/>
                <w:szCs w:val="20"/>
              </w:rPr>
              <w:t xml:space="preserve">The Desk earns those adjectives not through visual flourish but through five verifiable properties: (1) the first ten seconds deliver a defensible verdict with its confidence honestly bounded; (2) the chart is the centerpiece and everything on it is evidence-linked; (3) every automated conclusion can be interrogated in one interaction; (4) the screen degrades honestly and visibly; (5) nothing — ever — is invented. No surveyed competitor satisfies all five. That is the design moat.</w:t>
            </w:r>
          </w:p>
        </w:tc>
      </w:tr>
    </w:tbl>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6. The Desk in Detail — Screen Blueprint &amp; Engine Wiring</w:t>
      </w:r>
    </w:p>
    <w:p>
      <w:pPr>
        <w:spacing w:after="160" w:before="0" w:line="276"/>
        <w:jc w:val="both"/>
      </w:pPr>
      <w:r>
        <w:rPr>
          <w:rFonts w:ascii="Calibri" w:cs="Calibri" w:eastAsia="Calibri" w:hAnsi="Calibri"/>
          <w:b w:val="false"/>
          <w:bCs w:val="false"/>
          <w:i w:val="false"/>
          <w:iCs w:val="false"/>
          <w:color w:val="1A2332"/>
          <w:sz w:val="22"/>
          <w:szCs w:val="22"/>
        </w:rPr>
        <w:t xml:space="preserve">Section §5 established the design doctrine and the three-altitude architecture. This chapter makes it buildable: a zone-numbered blueprint of the desktop screen with a per-zone specification, and a wiring diagram tracing every pixel on the Desk back through the engine that computes it to the raw source that feeds it. Both diagrams use repository module names, so a builder can navigate from any screen element to its code in one lookup. Diagram convention: solid teal = production today; dashed amber = contract-ready, operator-gated (E7/E8); gray = the two Wave-2 builds — nothing else on either diagram is aspirational.</w:t>
      </w:r>
    </w:p>
    <w:p>
      <w:pPr>
        <w:pStyle w:val="Heading2"/>
        <w:spacing w:after="160" w:before="280"/>
      </w:pPr>
      <w:r>
        <w:rPr>
          <w:rFonts w:ascii="Calibri" w:cs="Calibri" w:eastAsia="Calibri" w:hAnsi="Calibri"/>
          <w:b/>
          <w:bCs/>
          <w:color w:val="1A2332"/>
          <w:sz w:val="27"/>
          <w:szCs w:val="27"/>
        </w:rPr>
        <w:t xml:space="preserve">6.1 Desktop screen blueprint (≥1440px)</w:t>
      </w:r>
    </w:p>
    <w:p>
      <w:pPr>
        <w:spacing w:after="60" w:before="120"/>
        <w:jc w:val="center"/>
      </w:pPr>
      <w:r>
        <w:drawing>
          <wp:inline distT="0" distB="0" distL="0" distR="0">
            <wp:extent cx="63055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4762500"/>
                    </a:xfrm>
                    <a:prstGeom prst="rect">
                      <a:avLst/>
                    </a:prstGeom>
                  </pic:spPr>
                </pic:pic>
              </a:graphicData>
            </a:graphic>
          </wp:inline>
        </w:drawing>
      </w:r>
    </w:p>
    <w:p>
      <w:pPr>
        <w:spacing w:after="200"/>
        <w:jc w:val="center"/>
      </w:pPr>
      <w:r>
        <w:rPr>
          <w:rFonts w:ascii="Calibri" w:cs="Calibri" w:eastAsia="Calibri" w:hAnsi="Calibri"/>
          <w:i/>
          <w:iCs/>
          <w:color w:val="5A6472"/>
          <w:sz w:val="17"/>
          <w:szCs w:val="17"/>
        </w:rPr>
        <w:t xml:space="preserve">Figure 1 — The Desk, desktop blueprint. Numbered zones are specified in Table 6.1. The Forensic drawer (zone 9) is shown open over the grid to illustrate the overlay behavior; it is closed by default.</w:t>
      </w:r>
    </w:p>
    <w:p>
      <w:pPr>
        <w:pStyle w:val="Heading3"/>
        <w:spacing w:after="120" w:before="220"/>
      </w:pPr>
      <w:r>
        <w:rPr>
          <w:rFonts w:ascii="Calibri" w:cs="Calibri" w:eastAsia="Calibri" w:hAnsi="Calibri"/>
          <w:b/>
          <w:bCs/>
          <w:color w:val="0E7C7B"/>
          <w:sz w:val="23"/>
          <w:szCs w:val="23"/>
        </w:rPr>
        <w:t xml:space="preserve">Table 6.1 — Zone-by-zone specification</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560"/>
        <w:gridCol w:w="1760"/>
        <w:gridCol w:w="1900"/>
        <w:gridCol w:w="3040"/>
        <w:gridCol w:w="2100"/>
      </w:tblGrid>
      <w:tr>
        <w:trPr>
          <w:tblHeader/>
        </w:trPr>
        <w:tc>
          <w:tcPr>
            <w:tcW w:type="dxa" w:w="5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Zone</w:t>
            </w:r>
          </w:p>
        </w:tc>
        <w:tc>
          <w:tcPr>
            <w:tcW w:type="dxa" w:w="17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Element</w:t>
            </w:r>
          </w:p>
        </w:tc>
        <w:tc>
          <w:tcPr>
            <w:tcW w:type="dxa" w:w="19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Layout contract</w:t>
            </w:r>
          </w:p>
        </w:tc>
        <w:tc>
          <w:tcPr>
            <w:tcW w:type="dxa" w:w="304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Behavior</w:t>
            </w:r>
          </w:p>
        </w:tc>
        <w:tc>
          <w:tcPr>
            <w:tcW w:type="dxa" w:w="21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Backing (module / endpoint)</w:t>
            </w:r>
          </w:p>
        </w:tc>
      </w:tr>
      <w:tr>
        <w:tc>
          <w:tcPr>
            <w:tcW w:type="dxa" w:w="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1</w:t>
            </w:r>
          </w:p>
        </w:tc>
        <w:tc>
          <w:tcPr>
            <w:tcW w:type="dxa" w:w="17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Verdict band (sticky)</w:t>
            </w:r>
          </w:p>
        </w:tc>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Full-width, 3 rows max, 8px grid; collapses to 2 lines &lt;1024px</w:t>
            </w:r>
          </w:p>
        </w:tc>
        <w:tc>
          <w:tcPr>
            <w:tcW w:type="dxa" w:w="3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Always visible on scroll; identity · stance chip · six dials · alert badge. Dial states: full = live, half = degraded (labeled), hollow = unavailable-with-reason</w:t>
            </w:r>
          </w:p>
        </w:tc>
        <w:tc>
          <w:tcPr>
            <w:tcW w:type="dxa" w:w="21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dossier stance; per-section D42 statuses; /ops/data-health; S8 incidents</w:t>
            </w:r>
          </w:p>
        </w:tc>
      </w:tr>
      <w:tr>
        <w:tc>
          <w:tcPr>
            <w:tcW w:type="dxa" w:w="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2</w:t>
            </w:r>
          </w:p>
        </w:tc>
        <w:tc>
          <w:tcPr>
            <w:tcW w:type="dxa" w:w="17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Hero chart</w:t>
            </w:r>
          </w:p>
        </w:tc>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Largest single element above the fold; ≥ 42% of first viewport height</w:t>
            </w:r>
          </w:p>
        </w:tc>
        <w:tc>
          <w:tcPr>
            <w:tcW w:type="dxa" w:w="3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3y daily; regime shading @8% opacity; evidence markers click-through to source docs; SPY overlay only when real; no curve when chain empty — one explanatory card instead</w:t>
            </w:r>
          </w:p>
        </w:tc>
        <w:tc>
          <w:tcPr>
            <w:tcW w:type="dxa" w:w="21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K1 /pricechart; regime_band_series; event_markers (desk_payload.py)</w:t>
            </w:r>
          </w:p>
        </w:tc>
      </w:tr>
      <w:tr>
        <w:tc>
          <w:tcPr>
            <w:tcW w:type="dxa" w:w="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3</w:t>
            </w:r>
          </w:p>
        </w:tc>
        <w:tc>
          <w:tcPr>
            <w:tcW w:type="dxa" w:w="17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A · Technical Signals</w:t>
            </w:r>
          </w:p>
        </w:tc>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Left column, row 1</w:t>
            </w:r>
          </w:p>
        </w:tc>
        <w:tc>
          <w:tcPr>
            <w:tcW w:type="dxa" w:w="3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Heat-ranked matrix; percentile-vs-own-history bars; 60-session sparklines; Top-3 elevation labeled ‘most statistically unusual’ (QS-2); &lt;252-session percentiles render the insufficiency note</w:t>
            </w:r>
          </w:p>
        </w:tc>
        <w:tc>
          <w:tcPr>
            <w:tcW w:type="dxa" w:w="21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signal_matrix; elevation rule = Wave-1 pure function + fixtures</w:t>
            </w:r>
          </w:p>
        </w:tc>
      </w:tr>
      <w:tr>
        <w:tc>
          <w:tcPr>
            <w:tcW w:type="dxa" w:w="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4</w:t>
            </w:r>
          </w:p>
        </w:tc>
        <w:tc>
          <w:tcPr>
            <w:tcW w:type="dxa" w:w="17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B · Tournament Arena</w:t>
            </w:r>
          </w:p>
        </w:tc>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Right column, row 1</w:t>
            </w:r>
          </w:p>
        </w:tc>
        <w:tc>
          <w:tcPr>
            <w:tcW w:type="dxa" w:w="3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Winner card + one-line why; full scoreboard with divergence &amp; penalty columns; walk-forward split timeline; selection history; RL row dashed-amber when E7 offline with honest queue copy</w:t>
            </w:r>
          </w:p>
        </w:tc>
        <w:tc>
          <w:tcPr>
            <w:tcW w:type="dxa" w:w="21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S4 tournament payload; A3 selection history; split_windows</w:t>
            </w:r>
          </w:p>
        </w:tc>
      </w:tr>
      <w:tr>
        <w:tc>
          <w:tcPr>
            <w:tcW w:type="dxa" w:w="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5</w:t>
            </w:r>
          </w:p>
        </w:tc>
        <w:tc>
          <w:tcPr>
            <w:tcW w:type="dxa" w:w="17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C · News &amp; Sentiment</w:t>
            </w:r>
          </w:p>
        </w:tc>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Left column, row 2</w:t>
            </w:r>
          </w:p>
        </w:tc>
        <w:tc>
          <w:tcPr>
            <w:tcW w:type="dxa" w:w="3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30d tape; per-article evidence chips → source + ‘why this matters’; thin coverage is a rendered state</w:t>
            </w:r>
          </w:p>
        </w:tc>
        <w:tc>
          <w:tcPr>
            <w:tcW w:type="dxa" w:w="21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news sections; S9 annotations</w:t>
            </w:r>
          </w:p>
        </w:tc>
      </w:tr>
      <w:tr>
        <w:tc>
          <w:tcPr>
            <w:tcW w:type="dxa" w:w="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6</w:t>
            </w:r>
          </w:p>
        </w:tc>
        <w:tc>
          <w:tcPr>
            <w:tcW w:type="dxa" w:w="17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D · Social Pulse</w:t>
            </w:r>
          </w:p>
        </w:tc>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Right column, row 2</w:t>
            </w:r>
          </w:p>
        </w:tc>
        <w:tc>
          <w:tcPr>
            <w:tcW w:type="dxa" w:w="3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Per-platform volumes; scored sentiment when E8 active, labeled mentions-fallback otherwise; divergence flag card when lanes disagree beyond threshold</w:t>
            </w:r>
          </w:p>
        </w:tc>
        <w:tc>
          <w:tcPr>
            <w:tcW w:type="dxa" w:w="21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A2 social payload; divergence contract</w:t>
            </w:r>
          </w:p>
        </w:tc>
      </w:tr>
      <w:tr>
        <w:tc>
          <w:tcPr>
            <w:tcW w:type="dxa" w:w="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7a</w:t>
            </w:r>
          </w:p>
        </w:tc>
        <w:tc>
          <w:tcPr>
            <w:tcW w:type="dxa" w:w="17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E · Fundamentals &amp; Filings</w:t>
            </w:r>
          </w:p>
        </w:tc>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Left column, row 3</w:t>
            </w:r>
          </w:p>
        </w:tc>
        <w:tc>
          <w:tcPr>
            <w:tcW w:type="dxa" w:w="3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XBRL spark-tables (revenue / margins / EPS) with period labels; insider-MSPR and filings-tone chips with filing drill-through</w:t>
            </w:r>
          </w:p>
        </w:tc>
        <w:tc>
          <w:tcPr>
            <w:tcW w:type="dxa" w:w="21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sec_xbrl.py; finnhub_extras.py sections</w:t>
            </w:r>
          </w:p>
        </w:tc>
      </w:tr>
      <w:tr>
        <w:tc>
          <w:tcPr>
            <w:tcW w:type="dxa" w:w="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7b</w:t>
            </w:r>
          </w:p>
        </w:tc>
        <w:tc>
          <w:tcPr>
            <w:tcW w:type="dxa" w:w="17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F · Sector Context</w:t>
            </w:r>
          </w:p>
        </w:tc>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Right column, row 3</w:t>
            </w:r>
          </w:p>
        </w:tc>
        <w:tc>
          <w:tcPr>
            <w:tcW w:type="dxa" w:w="3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Ticker vs SPY rebased (production today); peer relative strength + sector percentile arrive with the Wave-2 module — the panel states this plainly until then</w:t>
            </w:r>
          </w:p>
        </w:tc>
        <w:tc>
          <w:tcPr>
            <w:tcW w:type="dxa" w:w="21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K1 pricechart benchmark; Wave-2 sector module</w:t>
            </w:r>
          </w:p>
        </w:tc>
      </w:tr>
      <w:tr>
        <w:tc>
          <w:tcPr>
            <w:tcW w:type="dxa" w:w="5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8</w:t>
            </w:r>
          </w:p>
        </w:tc>
        <w:tc>
          <w:tcPr>
            <w:tcW w:type="dxa" w:w="17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Mini-map rail</w:t>
            </w:r>
          </w:p>
        </w:tc>
        <w:tc>
          <w:tcPr>
            <w:tcW w:type="dxa" w:w="19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≥1440px only; 100px fixed</w:t>
            </w:r>
          </w:p>
        </w:tc>
        <w:tc>
          <w:tcPr>
            <w:tcW w:type="dxa" w:w="304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Jump navigation to panels; scroll-position indicator; explicitly forbidden from growing content (UX-1)</w:t>
            </w:r>
          </w:p>
        </w:tc>
        <w:tc>
          <w:tcPr>
            <w:tcW w:type="dxa" w:w="21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client-only</w:t>
            </w:r>
          </w:p>
        </w:tc>
      </w:tr>
      <w:tr>
        <w:tc>
          <w:tcPr>
            <w:tcW w:type="dxa" w:w="5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9</w:t>
            </w:r>
          </w:p>
        </w:tc>
        <w:tc>
          <w:tcPr>
            <w:tcW w:type="dxa" w:w="17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Forensic drawer</w:t>
            </w:r>
          </w:p>
        </w:tc>
        <w:tc>
          <w:tcPr>
            <w:tcW w:type="dxa" w:w="19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Right overlay, 420px, over the grid</w:t>
            </w:r>
          </w:p>
        </w:tc>
        <w:tc>
          <w:tcPr>
            <w:tcW w:type="dxa" w:w="304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Opens from any ‘How was this computed?’; three-part anatomy (plain summary → factors → full method + sources); provenance footer (source chain · fingerprint · timestamp); never navigation away</w:t>
            </w:r>
          </w:p>
        </w:tc>
        <w:tc>
          <w:tcPr>
            <w:tcW w:type="dxa" w:w="21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provenance stamps; dataset fingerprint; methodology copy per engine</w:t>
            </w:r>
          </w:p>
        </w:tc>
      </w:tr>
    </w:tbl>
    <w:p>
      <w:pPr>
        <w:spacing w:after="160"/>
      </w:pPr>
    </w:p>
    <w:p>
      <w:pPr>
        <w:spacing w:after="160" w:before="0" w:line="276"/>
        <w:jc w:val="both"/>
      </w:pPr>
      <w:r>
        <w:rPr>
          <w:rFonts w:ascii="Calibri" w:cs="Calibri" w:eastAsia="Calibri" w:hAnsi="Calibri"/>
          <w:b/>
          <w:bCs/>
          <w:i w:val="false"/>
          <w:iCs w:val="false"/>
          <w:color w:val="1A2332"/>
          <w:sz w:val="22"/>
          <w:szCs w:val="22"/>
        </w:rPr>
        <w:t xml:space="preserve">Responsive collapse: </w:t>
      </w:r>
      <w:r>
        <w:rPr>
          <w:rFonts w:ascii="Calibri" w:cs="Calibri" w:eastAsia="Calibri" w:hAnsi="Calibri"/>
          <w:b w:val="false"/>
          <w:bCs w:val="false"/>
          <w:i w:val="false"/>
          <w:iCs w:val="false"/>
          <w:color w:val="1A2332"/>
          <w:sz w:val="22"/>
          <w:szCs w:val="22"/>
        </w:rPr>
        <w:t xml:space="preserve">1280–1439px drops the rail; &lt;1280px stacks panels single-column in A→F order with the Verdict band condensed to two lines; mobile renders Verdict + accordion panels per the NN⁄g mobile-deferral guidance already adopted in §5.6. Every breakpoint is a P3′ screenshot deliverable.</w:t>
      </w:r>
    </w:p>
    <w:p>
      <w:r>
        <w:br w:type="page"/>
      </w:r>
    </w:p>
    <w:p>
      <w:pPr>
        <w:pStyle w:val="Heading2"/>
        <w:spacing w:after="160" w:before="280"/>
      </w:pPr>
      <w:r>
        <w:rPr>
          <w:rFonts w:ascii="Calibri" w:cs="Calibri" w:eastAsia="Calibri" w:hAnsi="Calibri"/>
          <w:b/>
          <w:bCs/>
          <w:color w:val="1A2332"/>
          <w:sz w:val="27"/>
          <w:szCs w:val="27"/>
        </w:rPr>
        <w:t xml:space="preserve">6.2 Engine wiring — every pixel traced to its source</w:t>
      </w:r>
    </w:p>
    <w:p>
      <w:pPr>
        <w:spacing w:after="60" w:before="120"/>
        <w:jc w:val="center"/>
      </w:pPr>
      <w:r>
        <w:drawing>
          <wp:inline distT="0" distB="0" distL="0" distR="0">
            <wp:extent cx="630555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5600700"/>
                    </a:xfrm>
                    <a:prstGeom prst="rect">
                      <a:avLst/>
                    </a:prstGeom>
                  </pic:spPr>
                </pic:pic>
              </a:graphicData>
            </a:graphic>
          </wp:inline>
        </w:drawing>
      </w:r>
    </w:p>
    <w:p>
      <w:pPr>
        <w:spacing w:after="200"/>
        <w:jc w:val="center"/>
      </w:pPr>
      <w:r>
        <w:rPr>
          <w:rFonts w:ascii="Calibri" w:cs="Calibri" w:eastAsia="Calibri" w:hAnsi="Calibri"/>
          <w:i/>
          <w:iCs/>
          <w:color w:val="5A6472"/>
          <w:sz w:val="17"/>
          <w:szCs w:val="17"/>
        </w:rPr>
        <w:t xml:space="preserve">Figure 2 — Engine wiring, five layers: external sources → truth &amp; provenance layer → analysis engines → tournament / dossier / autonomy → Desk panels. Teal arrows mark the tournament candidate paths. The governance sidebar lists the invariants that bound the whole system.</w:t>
      </w:r>
    </w:p>
    <w:p>
      <w:pPr>
        <w:pStyle w:val="Heading3"/>
        <w:spacing w:after="120" w:before="220"/>
      </w:pPr>
      <w:r>
        <w:rPr>
          <w:rFonts w:ascii="Calibri" w:cs="Calibri" w:eastAsia="Calibri" w:hAnsi="Calibri"/>
          <w:b/>
          <w:bCs/>
          <w:color w:val="0E7C7B"/>
          <w:sz w:val="23"/>
          <w:szCs w:val="23"/>
        </w:rPr>
        <w:t xml:space="preserve">How to read the diagram</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Layer 1 → 2: </w:t>
      </w:r>
      <w:r>
        <w:rPr>
          <w:rFonts w:ascii="Calibri" w:cs="Calibri" w:eastAsia="Calibri" w:hAnsi="Calibri"/>
          <w:b w:val="false"/>
          <w:bCs w:val="false"/>
          <w:i w:val="false"/>
          <w:iCs w:val="false"/>
          <w:color w:val="1A2332"/>
          <w:sz w:val="22"/>
          <w:szCs w:val="22"/>
        </w:rPr>
        <w:t xml:space="preserve">all price data passes through the K1 truth layer before any engine sees it — the coverage-aware chain is why the UMC dash-wall class of failure cannot recur silently: /ops/data-health names the failing source in real time.</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Layer 3 → 4 (teal arrows): </w:t>
      </w:r>
      <w:r>
        <w:rPr>
          <w:rFonts w:ascii="Calibri" w:cs="Calibri" w:eastAsia="Calibri" w:hAnsi="Calibri"/>
          <w:b w:val="false"/>
          <w:bCs w:val="false"/>
          <w:i w:val="false"/>
          <w:iCs w:val="false"/>
          <w:color w:val="1A2332"/>
          <w:sz w:val="22"/>
          <w:szCs w:val="22"/>
        </w:rPr>
        <w:t xml:space="preserve">the heuristic pack, the ML forecaster, and (when E7 is live) the RL legs all enter the tournament as candidates — no engine’s opinion reaches the Desk unvalidated. The sentiment, fundamentals, and sector engines feed the dossier directly as evidence sections; they inform the stance but do not compete in the tournament.</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Layer 4 → 5: </w:t>
      </w:r>
      <w:r>
        <w:rPr>
          <w:rFonts w:ascii="Calibri" w:cs="Calibri" w:eastAsia="Calibri" w:hAnsi="Calibri"/>
          <w:b w:val="false"/>
          <w:bCs w:val="false"/>
          <w:i w:val="false"/>
          <w:iCs w:val="false"/>
          <w:color w:val="1A2332"/>
          <w:sz w:val="22"/>
          <w:szCs w:val="22"/>
        </w:rPr>
        <w:t xml:space="preserve">the Desk consumes only persisted dossier slices via the D42 section endpoints. The client never computes finance — which is both a performance property (streaming panels) and a truth property (one computation, one answer, everywhere).</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Governance sidebar: </w:t>
      </w:r>
      <w:r>
        <w:rPr>
          <w:rFonts w:ascii="Calibri" w:cs="Calibri" w:eastAsia="Calibri" w:hAnsi="Calibri"/>
          <w:b w:val="false"/>
          <w:bCs w:val="false"/>
          <w:i w:val="false"/>
          <w:iCs w:val="false"/>
          <w:color w:val="1A2332"/>
          <w:sz w:val="22"/>
          <w:szCs w:val="22"/>
        </w:rPr>
        <w:t xml:space="preserve">four invariants bound everything on the page — RL isolation (D18/D30), research-not-advice vocabulary, the zero-fiction invariant enforced by tests on every merge, and the D39 compute budgets with honest degradation.</w:t>
      </w:r>
    </w:p>
    <w:p>
      <w:pPr>
        <w:pStyle w:val="Heading3"/>
        <w:spacing w:after="120" w:before="220"/>
      </w:pPr>
      <w:r>
        <w:rPr>
          <w:rFonts w:ascii="Calibri" w:cs="Calibri" w:eastAsia="Calibri" w:hAnsi="Calibri"/>
          <w:b/>
          <w:bCs/>
          <w:color w:val="0E7C7B"/>
          <w:sz w:val="23"/>
          <w:szCs w:val="23"/>
        </w:rPr>
        <w:t xml:space="preserve">Table 6.2 — What each engine actually does, in practice</w:t>
      </w:r>
    </w:p>
    <w:tbl>
      <w:tblPr>
        <w:tblW w:type="dxa" w:w="9460"/>
        <w:tblBorders>
          <w:top w:val="single" w:color="C9D1DA" w:sz="4"/>
          <w:left w:val="single" w:color="C9D1DA" w:sz="4"/>
          <w:bottom w:val="single" w:color="C9D1DA" w:sz="4"/>
          <w:right w:val="single" w:color="C9D1DA" w:sz="4"/>
          <w:insideH w:val="single" w:color="C9D1DA" w:sz="2"/>
          <w:insideV w:val="single" w:color="C9D1DA" w:sz="2"/>
        </w:tblBorders>
      </w:tblPr>
      <w:tblGrid>
        <w:gridCol w:w="2000"/>
        <w:gridCol w:w="4160"/>
        <w:gridCol w:w="3300"/>
      </w:tblGrid>
      <w:tr>
        <w:trPr>
          <w:tblHeader/>
        </w:trPr>
        <w:tc>
          <w:tcPr>
            <w:tcW w:type="dxa" w:w="20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Engine (diagram box)</w:t>
            </w:r>
          </w:p>
        </w:tc>
        <w:tc>
          <w:tcPr>
            <w:tcW w:type="dxa" w:w="41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In practice, when you type a ticker it…</w:t>
            </w:r>
          </w:p>
        </w:tc>
        <w:tc>
          <w:tcPr>
            <w:tcW w:type="dxa" w:w="33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What the investor sees</w:t>
            </w:r>
          </w:p>
        </w:tc>
      </w:tr>
      <w:tr>
        <w:tc>
          <w:tcPr>
            <w:tcW w:type="dxa" w:w="2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Truth &amp; provenance layer</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Pulls history from yfinance, measures coverage, falls back to Stooq when deeper, flags partial windows, stamps every bar with its source, and refuses to let thin data masquerade as analysis</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The freshness badge, the serving-source on hover, and — when something is wrong — a card that names the failing source instead of a broken chart</w:t>
            </w:r>
          </w:p>
        </w:tc>
      </w:tr>
      <w:tr>
        <w:tc>
          <w:tcPr>
            <w:tcW w:type="dxa" w:w="2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Indicator engine + regimes</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Computes the full technical vocabulary over 3 years and classifies every session into uptrend / neutral / risk-off using the exact production rule</w:t>
            </w:r>
          </w:p>
        </w:tc>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The regime shading on the hero chart and the raw material of Panel A</w:t>
            </w:r>
          </w:p>
        </w:tc>
      </w:tr>
      <w:tr>
        <w:tc>
          <w:tcPr>
            <w:tcW w:type="dxa" w:w="2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Signal matrix</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Ranks each signal against that stock’s own trailing history — ‘is 34% volatility high for THIS stock?’ — with a hard honesty floor of 252 sessions</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A: the percentile bars, sparklines, plain-language reads, and the Top-3 ‘signals that matter now’</w:t>
            </w:r>
          </w:p>
        </w:tc>
      </w:tr>
      <w:tr>
        <w:tc>
          <w:tcPr>
            <w:tcW w:type="dxa" w:w="2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ML return forecaster</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Trains a regularized gradient-boosting model on the indicator + news-sentiment features and produces a return forecast under leakage-tested discipline</w:t>
            </w:r>
          </w:p>
        </w:tc>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One named candidate row in the Tournament Arena — with its in-sample vs out-of-sample gap visible</w:t>
            </w:r>
          </w:p>
        </w:tc>
      </w:tr>
      <w:tr>
        <w:tc>
          <w:tcPr>
            <w:tcW w:type="dxa" w:w="2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Heuristic pack</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Runs momentum, mean-reversion, and regime-filtered momentum rules — the simple, robust baselines every ML claim must beat</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Candidate rows in the Arena; often the winner, and the UI explains why simplicity won</w:t>
            </w:r>
          </w:p>
        </w:tc>
      </w:tr>
      <w:tr>
        <w:tc>
          <w:tcPr>
            <w:tcW w:type="dxa" w:w="2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RL legs — PPO/A2C [E7]</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When the research worker is live: trains FinRL-heritage agents on the ticker in an isolated container, passes artifacts through protocol-identity and re-deflation gates, and enters them as candidates</w:t>
            </w:r>
          </w:p>
        </w:tc>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Either real candidate rows with validation evidence, or a visibly distinct ‘queued for research run’ card — never simulated output</w:t>
            </w:r>
          </w:p>
        </w:tc>
      </w:tr>
      <w:tr>
        <w:tc>
          <w:tcPr>
            <w:tcW w:type="dxa" w:w="2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Model tournament</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Walk-forward validates every candidate on ≥3 expanding splits, penalizes train/validation divergence and multiple testing, breaks ties toward simplicity, and records the whole scoreboard</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The Arena’s winner card, the penalty columns, the split timeline drawn on the price axis, and the selection history</w:t>
            </w:r>
          </w:p>
        </w:tc>
      </w:tr>
      <w:tr>
        <w:tc>
          <w:tcPr>
            <w:tcW w:type="dxa" w:w="2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News lane (1)</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Ingests articles, scores sentiment per item, and attaches evidence-linked ‘why this matters’ annotations behind a validated flag</w:t>
            </w:r>
          </w:p>
        </w:tc>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C’s tape and chips; the news half of every divergence flag</w:t>
            </w:r>
          </w:p>
        </w:tc>
      </w:tr>
      <w:tr>
        <w:tc>
          <w:tcPr>
            <w:tcW w:type="dxa" w:w="2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Social lane (2) [E8]</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Tracks per-platform mentions; with the premium tier, scores them; without it, renders the labeled mentions-only fallback; computes sign divergence vs the news lane</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D — including the flag card when the crowd and the press disagree</w:t>
            </w:r>
          </w:p>
        </w:tc>
      </w:tr>
      <w:tr>
        <w:tc>
          <w:tcPr>
            <w:tcW w:type="dxa" w:w="2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Fundamentals + filings</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Pulls XBRL company facts keylessly from SEC, computes revenue/margin/EPS trends, and derives insider-MSPR and filings-tone deltas from Finnhub</w:t>
            </w:r>
          </w:p>
        </w:tc>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Panel E’s spark-tables and chips, each with drill-through to the underlying filing</w:t>
            </w:r>
          </w:p>
        </w:tc>
      </w:tr>
      <w:tr>
        <w:tc>
          <w:tcPr>
            <w:tcW w:type="dxa" w:w="2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Autopilot + DAG + freshness</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Orchestrates the whole run as a staged job, caches the dossier by dataset fingerprint, refreshes recently-researched tickers daily, re-runs enrich+tournament on news deltas, and raises material-change incidents</w:t>
            </w:r>
          </w:p>
        </w:tc>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The staged progress on a cold run, the instant warm load, the quiet revalidation shimmer, and the alert badges in zone 1</w:t>
            </w:r>
          </w:p>
        </w:tc>
      </w:tr>
    </w:tbl>
    <w:p>
      <w:pPr>
        <w:spacing w:after="160"/>
      </w:pPr>
    </w:p>
    <w:tbl>
      <w:tblPr>
        <w:tblW w:type="dxa" w:w="9360"/>
        <w:tblBorders>
          <w:top w:val="single" w:color="0E7C7B" w:sz="6"/>
          <w:left w:val="single" w:color="0E7C7B" w:sz="12"/>
          <w:bottom w:val="single" w:color="0E7C7B" w:sz="6"/>
          <w:right w:val="single" w:color="0E7C7B" w:sz="6"/>
          <w:insideH w:val="single" w:color="auto" w:sz="4"/>
          <w:insideV w:val="single" w:color="auto" w:sz="4"/>
        </w:tblBorders>
      </w:tblPr>
      <w:tblGrid>
        <w:gridCol w:w="9360"/>
      </w:tblGrid>
      <w:tr>
        <w:tc>
          <w:tcPr>
            <w:tcW w:type="dxa" w:w="9360"/>
            <w:shd w:fill="EAF5EF" w:val="clear"/>
            <w:tcMar>
              <w:top w:type="dxa" w:w="120"/>
              <w:left w:type="dxa" w:w="160"/>
              <w:bottom w:type="dxa" w:w="120"/>
              <w:right w:type="dxa" w:w="160"/>
            </w:tcMar>
          </w:tcPr>
          <w:p>
            <w:pPr>
              <w:spacing w:after="80"/>
            </w:pPr>
            <w:r>
              <w:rPr>
                <w:rFonts w:ascii="Calibri" w:cs="Calibri" w:eastAsia="Calibri" w:hAnsi="Calibri"/>
                <w:b/>
                <w:bCs/>
                <w:i w:val="false"/>
                <w:iCs w:val="false"/>
                <w:color w:val="1F4E79"/>
                <w:sz w:val="21"/>
                <w:szCs w:val="21"/>
              </w:rPr>
              <w:t xml:space="preserve">Why this chapter exists</w:t>
            </w:r>
          </w:p>
          <w:p>
            <w:pPr>
              <w:spacing w:after="0"/>
              <w:jc w:val="both"/>
            </w:pPr>
            <w:r>
              <w:rPr>
                <w:rFonts w:ascii="Calibri" w:cs="Calibri" w:eastAsia="Calibri" w:hAnsi="Calibri"/>
                <w:b w:val="false"/>
                <w:bCs w:val="false"/>
                <w:i w:val="false"/>
                <w:iCs w:val="false"/>
                <w:color w:val="1A2332"/>
                <w:sz w:val="20"/>
                <w:szCs w:val="20"/>
              </w:rPr>
              <w:t xml:space="preserve">The Credibility Audit’s deepest finding was that FINRLX’s power was invisible at the moment of judgment. Figures 1–2 are the antidote in document form: every capability the platform owns now has a fixed address on one screen, and every element on that screen has a named engine and a named source behind it. When a council reviewer, a builder, or the operator asks ‘where does this number come from?’, the answer is a lookup, not an investigation.</w:t>
            </w:r>
          </w:p>
        </w:tc>
      </w:tr>
    </w:tbl>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7. Background Orchestration — How the Technology Disappears</w:t>
      </w:r>
    </w:p>
    <w:p>
      <w:pPr>
        <w:spacing w:after="160" w:before="0" w:line="276"/>
        <w:jc w:val="both"/>
      </w:pPr>
      <w:r>
        <w:rPr>
          <w:rFonts w:ascii="Calibri" w:cs="Calibri" w:eastAsia="Calibri" w:hAnsi="Calibri"/>
          <w:b w:val="false"/>
          <w:bCs w:val="false"/>
          <w:i w:val="false"/>
          <w:iCs w:val="false"/>
          <w:color w:val="1A2332"/>
          <w:sz w:val="22"/>
          <w:szCs w:val="22"/>
        </w:rPr>
        <w:t xml:space="preserve">The operator’s constraint: all technological processes run in the background; the user sees choices built on that work. The architecture already implements this contract; this section documents the flow the Desk sits on and the traceability from every UI element to its existing (or planned) backend.</w:t>
      </w:r>
    </w:p>
    <w:p>
      <w:pPr>
        <w:pStyle w:val="Heading2"/>
        <w:spacing w:after="160" w:before="280"/>
      </w:pPr>
      <w:r>
        <w:rPr>
          <w:rFonts w:ascii="Calibri" w:cs="Calibri" w:eastAsia="Calibri" w:hAnsi="Calibri"/>
          <w:b/>
          <w:bCs/>
          <w:color w:val="1A2332"/>
          <w:sz w:val="27"/>
          <w:szCs w:val="27"/>
        </w:rPr>
        <w:t xml:space="preserve">7.1 The research flow</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Input: ticker (server-validated against the asset table, hostile-input hardened per D40) → POST /autopilot/research → job id.</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Staged job: ingest (provider chain, coverage-aware) → enrich (news, XBRL fundamentals, filings, insider, social) → features (full indicator vocabulary) → tournament (heuristics + ML + RL legs, walk-forward, penalties) → dossier persisted with dataset fingerprint.</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Desk consumption: D42 section endpoints slice the dossier per panel; sections stream independently; the client never computes finance.</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Living state: daily DAG refresh for recently-researched tickers; news-delta partial re-runs (enrich + tournament only); material-change incidents surface as Desk alerts; freshness engine revalidates stale sections on view.</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Budgets (D39): tournament ≤90s warm / ≤6min cold excluding RL; RL leg ≤10min small-config or honest degradation.</w:t>
      </w:r>
    </w:p>
    <w:p>
      <w:pPr>
        <w:pStyle w:val="Heading2"/>
        <w:spacing w:after="160" w:before="280"/>
      </w:pPr>
      <w:r>
        <w:rPr>
          <w:rFonts w:ascii="Calibri" w:cs="Calibri" w:eastAsia="Calibri" w:hAnsi="Calibri"/>
          <w:b/>
          <w:bCs/>
          <w:color w:val="1A2332"/>
          <w:sz w:val="27"/>
          <w:szCs w:val="27"/>
        </w:rPr>
        <w:t xml:space="preserve">7.2 UI-to-engine traceability matrix (build inventory for Wave 1)</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3300"/>
        <w:gridCol w:w="3660"/>
        <w:gridCol w:w="2400"/>
      </w:tblGrid>
      <w:tr>
        <w:trPr>
          <w:tblHeader/>
        </w:trPr>
        <w:tc>
          <w:tcPr>
            <w:tcW w:type="dxa" w:w="33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Desk element</w:t>
            </w:r>
          </w:p>
        </w:tc>
        <w:tc>
          <w:tcPr>
            <w:tcW w:type="dxa" w:w="36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Backend dependency</w:t>
            </w:r>
          </w:p>
        </w:tc>
        <w:tc>
          <w:tcPr>
            <w:tcW w:type="dxa" w:w="24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Status</w:t>
            </w:r>
          </w:p>
        </w:tc>
      </w:tr>
      <w:tr>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Verdict band: stance + confidence trio</w:t>
            </w:r>
          </w:p>
        </w:tc>
        <w:tc>
          <w:tcPr>
            <w:tcW w:type="dxa" w:w="36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dossier stance payload</w:t>
            </w:r>
          </w:p>
        </w:tc>
        <w:tc>
          <w:tcPr>
            <w:tcW w:type="dxa" w:w="2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w:t>
            </w:r>
          </w:p>
        </w:tc>
      </w:tr>
      <w:tr>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Engine dials (six)</w:t>
            </w:r>
          </w:p>
        </w:tc>
        <w:tc>
          <w:tcPr>
            <w:tcW w:type="dxa" w:w="36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D42 section statuses + /ops/data-health</w:t>
            </w:r>
          </w:p>
        </w:tc>
        <w:tc>
          <w:tcPr>
            <w:tcW w:type="dxa" w:w="2400"/>
            <w:shd w:fill="FDF3E7"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 needs a thin status aggregator endpoint</w:t>
            </w:r>
          </w:p>
        </w:tc>
      </w:tr>
      <w:tr>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Hero chart + regime bands + markers</w:t>
            </w:r>
          </w:p>
        </w:tc>
        <w:tc>
          <w:tcPr>
            <w:tcW w:type="dxa" w:w="36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K1 /pricechart + desk_payload.regime_band_series + event_markers</w:t>
            </w:r>
          </w:p>
        </w:tc>
        <w:tc>
          <w:tcPr>
            <w:tcW w:type="dxa" w:w="2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w:t>
            </w:r>
          </w:p>
        </w:tc>
      </w:tr>
      <w:tr>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Technical panel: ranked matrix + top-3 elevation</w:t>
            </w:r>
          </w:p>
        </w:tc>
        <w:tc>
          <w:tcPr>
            <w:tcW w:type="dxa" w:w="36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desk_payload.signal_matrix</w:t>
            </w:r>
          </w:p>
        </w:tc>
        <w:tc>
          <w:tcPr>
            <w:tcW w:type="dxa" w:w="2400"/>
            <w:shd w:fill="FDF3E7"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 elevation rule = small pure function + tests</w:t>
            </w:r>
          </w:p>
        </w:tc>
      </w:tr>
      <w:tr>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Tournament arena: scoreboard, divergence, penalties, splits, history</w:t>
            </w:r>
          </w:p>
        </w:tc>
        <w:tc>
          <w:tcPr>
            <w:tcW w:type="dxa" w:w="36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S4 tournament payload + A3 selection history + split_windows</w:t>
            </w:r>
          </w:p>
        </w:tc>
        <w:tc>
          <w:tcPr>
            <w:tcW w:type="dxa" w:w="2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w:t>
            </w:r>
          </w:p>
        </w:tc>
      </w:tr>
      <w:tr>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News lane tape + evidence chips</w:t>
            </w:r>
          </w:p>
        </w:tc>
        <w:tc>
          <w:tcPr>
            <w:tcW w:type="dxa" w:w="36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news sections + S9 annotations</w:t>
            </w:r>
          </w:p>
        </w:tc>
        <w:tc>
          <w:tcPr>
            <w:tcW w:type="dxa" w:w="2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w:t>
            </w:r>
          </w:p>
        </w:tc>
      </w:tr>
      <w:tr>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Social lane + divergence flag</w:t>
            </w:r>
          </w:p>
        </w:tc>
        <w:tc>
          <w:tcPr>
            <w:tcW w:type="dxa" w:w="36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A2 social payload (fallback mode until E8)</w:t>
            </w:r>
          </w:p>
        </w:tc>
        <w:tc>
          <w:tcPr>
            <w:tcW w:type="dxa" w:w="2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 (degraded honestly)</w:t>
            </w:r>
          </w:p>
        </w:tc>
      </w:tr>
      <w:tr>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Fundamentals spark-tables + filings chips</w:t>
            </w:r>
          </w:p>
        </w:tc>
        <w:tc>
          <w:tcPr>
            <w:tcW w:type="dxa" w:w="36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A1 XBRL + finnhub_extras sections</w:t>
            </w:r>
          </w:p>
        </w:tc>
        <w:tc>
          <w:tcPr>
            <w:tcW w:type="dxa" w:w="2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w:t>
            </w:r>
          </w:p>
        </w:tc>
      </w:tr>
      <w:tr>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Sector panel: peer relative strength</w:t>
            </w:r>
          </w:p>
        </w:tc>
        <w:tc>
          <w:tcPr>
            <w:tcW w:type="dxa" w:w="36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 small module over existing benchmark/peer data</w:t>
            </w:r>
          </w:p>
        </w:tc>
        <w:tc>
          <w:tcPr>
            <w:tcW w:type="dxa" w:w="2400"/>
            <w:shd w:fill="F0E6E6"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Wave 2 build</w:t>
            </w:r>
          </w:p>
        </w:tc>
      </w:tr>
      <w:tr>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Forensic drawers: provenance footer</w:t>
            </w:r>
          </w:p>
        </w:tc>
        <w:tc>
          <w:tcPr>
            <w:tcW w:type="dxa" w:w="36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provenance stamps + dataset fingerprint (all persisted)</w:t>
            </w:r>
          </w:p>
        </w:tc>
        <w:tc>
          <w:tcPr>
            <w:tcW w:type="dxa" w:w="2400"/>
            <w:shd w:fill="FDF3E7"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 drawer methodology copy = content task</w:t>
            </w:r>
          </w:p>
        </w:tc>
      </w:tr>
      <w:tr>
        <w:tc>
          <w:tcPr>
            <w:tcW w:type="dxa" w:w="33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Alerts on header</w:t>
            </w:r>
          </w:p>
        </w:tc>
        <w:tc>
          <w:tcPr>
            <w:tcW w:type="dxa" w:w="36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S8 incidents + A6 surfacing</w:t>
            </w:r>
          </w:p>
        </w:tc>
        <w:tc>
          <w:tcPr>
            <w:tcW w:type="dxa" w:w="24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Exists</w:t>
            </w:r>
          </w:p>
        </w:tc>
      </w:tr>
      <w:tr>
        <w:tc>
          <w:tcPr>
            <w:tcW w:type="dxa" w:w="33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Professional-forum sources</w:t>
            </w:r>
          </w:p>
        </w:tc>
        <w:tc>
          <w:tcPr>
            <w:tcW w:type="dxa" w:w="36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NEW adapter (source vetting first)</w:t>
            </w:r>
          </w:p>
        </w:tc>
        <w:tc>
          <w:tcPr>
            <w:tcW w:type="dxa" w:w="2400"/>
            <w:shd w:fill="F0E6E6"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Wave 2 build; never simulated meanwhile</w:t>
            </w:r>
          </w:p>
        </w:tc>
      </w:tr>
    </w:tbl>
    <w:p>
      <w:pPr>
        <w:spacing w:after="160" w:before="0" w:line="276"/>
        <w:jc w:val="both"/>
      </w:pPr>
      <w:r>
        <w:rPr>
          <w:rFonts w:ascii="Calibri" w:cs="Calibri" w:eastAsia="Calibri" w:hAnsi="Calibri"/>
          <w:b/>
          <w:bCs/>
          <w:i w:val="false"/>
          <w:iCs w:val="false"/>
          <w:color w:val="1A2332"/>
          <w:sz w:val="22"/>
          <w:szCs w:val="22"/>
        </w:rPr>
        <w:t xml:space="preserve">Reading of the matrix: </w:t>
      </w:r>
      <w:r>
        <w:rPr>
          <w:rFonts w:ascii="Calibri" w:cs="Calibri" w:eastAsia="Calibri" w:hAnsi="Calibri"/>
          <w:b w:val="false"/>
          <w:bCs w:val="false"/>
          <w:i w:val="false"/>
          <w:iCs w:val="false"/>
          <w:color w:val="1A2332"/>
          <w:sz w:val="22"/>
          <w:szCs w:val="22"/>
        </w:rPr>
        <w:t xml:space="preserve">9 of 12 Desk elements sit on production endpoints today; 2 need thin additions; 1.5 are genuinely new. Wave 1 is therefore overwhelmingly a frontend-and-design program — exactly the kind of work the council has ruled must happen in a browser-equipped environment with screenshots as merge gates.</w:t>
      </w:r>
    </w:p>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8. Council Review — Verdicts, Findings, Resolutions</w:t>
      </w:r>
    </w:p>
    <w:p>
      <w:pPr>
        <w:spacing w:after="160" w:before="0" w:line="276"/>
        <w:jc w:val="both"/>
      </w:pPr>
      <w:r>
        <w:rPr>
          <w:rFonts w:ascii="Calibri" w:cs="Calibri" w:eastAsia="Calibri" w:hAnsi="Calibri"/>
          <w:b w:val="false"/>
          <w:bCs w:val="false"/>
          <w:i w:val="false"/>
          <w:iCs w:val="false"/>
          <w:color w:val="1A2332"/>
          <w:sz w:val="22"/>
          <w:szCs w:val="22"/>
        </w:rPr>
        <w:t xml:space="preserve">Per program protocol, each council member reviewed the assembled draft against its checklist. Verdicts below are the committed record. Two findings (QS-2, TA-1) forced changes to this document before certification; the changes are described under each finding.</w:t>
      </w:r>
    </w:p>
    <w:p>
      <w:pPr>
        <w:pStyle w:val="Heading2"/>
        <w:spacing w:after="160" w:before="280"/>
      </w:pPr>
      <w:r>
        <w:rPr>
          <w:rFonts w:ascii="Calibri" w:cs="Calibri" w:eastAsia="Calibri" w:hAnsi="Calibri"/>
          <w:b/>
          <w:bCs/>
          <w:color w:val="1A2332"/>
          <w:sz w:val="27"/>
          <w:szCs w:val="27"/>
        </w:rPr>
        <w:t xml:space="preserve">8.1 Verdicts</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2600"/>
        <w:gridCol w:w="2800"/>
        <w:gridCol w:w="3960"/>
      </w:tblGrid>
      <w:tr>
        <w:trPr>
          <w:tblHeader/>
        </w:trPr>
        <w:tc>
          <w:tcPr>
            <w:tcW w:type="dxa" w:w="26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Council role</w:t>
            </w:r>
          </w:p>
        </w:tc>
        <w:tc>
          <w:tcPr>
            <w:tcW w:type="dxa" w:w="28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Verdict</w:t>
            </w:r>
          </w:p>
        </w:tc>
        <w:tc>
          <w:tcPr>
            <w:tcW w:type="dxa" w:w="39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Findings</w:t>
            </w:r>
          </w:p>
        </w:tc>
      </w:tr>
      <w:tr>
        <w:tc>
          <w:tcPr>
            <w:tcW w:type="dxa" w:w="2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Quant Skeptic</w:t>
            </w:r>
          </w:p>
        </w:tc>
        <w:tc>
          <w:tcPr>
            <w:tcW w:type="dxa" w:w="2800"/>
            <w:shd w:fill="FDF3E7"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PASS with conditions (resolved)</w:t>
            </w:r>
          </w:p>
        </w:tc>
        <w:tc>
          <w:tcPr>
            <w:tcW w:type="dxa" w:w="3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QS-1, QS-2 — both resolved in this version</w:t>
            </w:r>
          </w:p>
        </w:tc>
      </w:tr>
      <w:tr>
        <w:tc>
          <w:tcPr>
            <w:tcW w:type="dxa" w:w="2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UX Critic</w:t>
            </w:r>
          </w:p>
        </w:tc>
        <w:tc>
          <w:tcPr>
            <w:tcW w:type="dxa" w:w="28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PASS</w:t>
            </w:r>
          </w:p>
        </w:tc>
        <w:tc>
          <w:tcPr>
            <w:tcW w:type="dxa" w:w="3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UX-1 advisory carried to Wave-1 backlog</w:t>
            </w:r>
          </w:p>
        </w:tc>
      </w:tr>
      <w:tr>
        <w:tc>
          <w:tcPr>
            <w:tcW w:type="dxa" w:w="2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Truthfulness Auditor</w:t>
            </w:r>
          </w:p>
        </w:tc>
        <w:tc>
          <w:tcPr>
            <w:tcW w:type="dxa" w:w="2800"/>
            <w:shd w:fill="FDF3E7"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PASS with conditions (resolved)</w:t>
            </w:r>
          </w:p>
        </w:tc>
        <w:tc>
          <w:tcPr>
            <w:tcW w:type="dxa" w:w="3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TA-1, TA-2 — both resolved in this version</w:t>
            </w:r>
          </w:p>
        </w:tc>
      </w:tr>
      <w:tr>
        <w:tc>
          <w:tcPr>
            <w:tcW w:type="dxa" w:w="26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Security / Ops Reviewer</w:t>
            </w:r>
          </w:p>
        </w:tc>
        <w:tc>
          <w:tcPr>
            <w:tcW w:type="dxa" w:w="28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PASS</w:t>
            </w:r>
          </w:p>
        </w:tc>
        <w:tc>
          <w:tcPr>
            <w:tcW w:type="dxa" w:w="39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SO-1 advisory recorded</w:t>
            </w:r>
          </w:p>
        </w:tc>
      </w:tr>
      <w:tr>
        <w:tc>
          <w:tcPr>
            <w:tcW w:type="dxa" w:w="26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Design Authority</w:t>
            </w:r>
          </w:p>
        </w:tc>
        <w:tc>
          <w:tcPr>
            <w:tcW w:type="dxa" w:w="2800"/>
            <w:shd w:fill="EAF5E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PASS</w:t>
            </w:r>
          </w:p>
        </w:tc>
        <w:tc>
          <w:tcPr>
            <w:tcW w:type="dxa" w:w="39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DA-1 binding rule adopted</w:t>
            </w:r>
          </w:p>
        </w:tc>
      </w:tr>
    </w:tbl>
    <w:p>
      <w:pPr>
        <w:pStyle w:val="Heading2"/>
        <w:spacing w:after="160" w:before="280"/>
      </w:pPr>
      <w:r>
        <w:rPr>
          <w:rFonts w:ascii="Calibri" w:cs="Calibri" w:eastAsia="Calibri" w:hAnsi="Calibri"/>
          <w:b/>
          <w:bCs/>
          <w:color w:val="1A2332"/>
          <w:sz w:val="27"/>
          <w:szCs w:val="27"/>
        </w:rPr>
        <w:t xml:space="preserve">8.2 Findings and resolutions (verbatim record)</w:t>
      </w:r>
    </w:p>
    <w:p>
      <w:pPr>
        <w:pStyle w:val="Heading3"/>
        <w:spacing w:after="120" w:before="220"/>
      </w:pPr>
      <w:r>
        <w:rPr>
          <w:rFonts w:ascii="Calibri" w:cs="Calibri" w:eastAsia="Calibri" w:hAnsi="Calibri"/>
          <w:b/>
          <w:bCs/>
          <w:color w:val="0E7C7B"/>
          <w:sz w:val="23"/>
          <w:szCs w:val="23"/>
        </w:rPr>
        <w:t xml:space="preserve">Quant Skeptic</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QS-1 (resolved): </w:t>
      </w:r>
      <w:r>
        <w:rPr>
          <w:rFonts w:ascii="Calibri" w:cs="Calibri" w:eastAsia="Calibri" w:hAnsi="Calibri"/>
          <w:b w:val="false"/>
          <w:bCs w:val="false"/>
          <w:i w:val="false"/>
          <w:iCs w:val="false"/>
          <w:color w:val="1A2332"/>
          <w:sz w:val="22"/>
          <w:szCs w:val="22"/>
        </w:rPr>
        <w:t xml:space="preserve">“The draft’s competitor section quoted Danelfin’s +376% and 70% win-rate figures without adjacency to the backtest caveat. Backtested ≠ live; reviewers document 10–20% typical divergence. Either label every such figure at point of use or delete it.” Resolution: §2.2 now carries the backtest label and the independent-reviewer caveat in the same bullet as the figures.</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QS-2 (resolved): </w:t>
      </w:r>
      <w:r>
        <w:rPr>
          <w:rFonts w:ascii="Calibri" w:cs="Calibri" w:eastAsia="Calibri" w:hAnsi="Calibri"/>
          <w:b w:val="false"/>
          <w:bCs w:val="false"/>
          <w:i w:val="false"/>
          <w:iCs w:val="false"/>
          <w:color w:val="1A2332"/>
          <w:sz w:val="22"/>
          <w:szCs w:val="22"/>
        </w:rPr>
        <w:t xml:space="preserve">“The ‘top-3 signals that matter now’ elevation (§5.4-A) is a new ranking rule. A ranking rule is a model; a model needs an evaluation protocol or it becomes the next unaudited claim on the screen.” Resolution: FR-tier requirement added to the Wave-1 backlog — the elevation rule ships as a pure function with fixture tests and its logic disclosed in the panel’s Forensic drawer; it is presented as ‘most statistically unusual’, never ‘most predictive’.</w:t>
      </w:r>
    </w:p>
    <w:p>
      <w:pPr>
        <w:pStyle w:val="Heading3"/>
        <w:spacing w:after="120" w:before="220"/>
      </w:pPr>
      <w:r>
        <w:rPr>
          <w:rFonts w:ascii="Calibri" w:cs="Calibri" w:eastAsia="Calibri" w:hAnsi="Calibri"/>
          <w:b/>
          <w:bCs/>
          <w:color w:val="0E7C7B"/>
          <w:sz w:val="23"/>
          <w:szCs w:val="23"/>
        </w:rPr>
        <w:t xml:space="preserve">UX Critic</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UX-1 (advisory): </w:t>
      </w:r>
      <w:r>
        <w:rPr>
          <w:rFonts w:ascii="Calibri" w:cs="Calibri" w:eastAsia="Calibri" w:hAnsi="Calibri"/>
          <w:b w:val="false"/>
          <w:bCs w:val="false"/>
          <w:i w:val="false"/>
          <w:iCs w:val="false"/>
          <w:color w:val="1A2332"/>
          <w:sz w:val="22"/>
          <w:szCs w:val="22"/>
        </w:rPr>
        <w:t xml:space="preserve">“Six panels + hero + verdict band is at the density ceiling for 1280px. The 2-col grid must collapse gracefully and the mini-map must not become a seventh panel of chrome. Prototype both breakpoints before committing the grid.” Carried to Wave-1 as the first screenshot deliverable.</w:t>
      </w:r>
    </w:p>
    <w:p>
      <w:pPr>
        <w:pStyle w:val="Heading3"/>
        <w:spacing w:after="120" w:before="220"/>
      </w:pPr>
      <w:r>
        <w:rPr>
          <w:rFonts w:ascii="Calibri" w:cs="Calibri" w:eastAsia="Calibri" w:hAnsi="Calibri"/>
          <w:b/>
          <w:bCs/>
          <w:color w:val="0E7C7B"/>
          <w:sz w:val="23"/>
          <w:szCs w:val="23"/>
        </w:rPr>
        <w:t xml:space="preserve">Truthfulness Auditor</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TA-1 (resolved): </w:t>
      </w:r>
      <w:r>
        <w:rPr>
          <w:rFonts w:ascii="Calibri" w:cs="Calibri" w:eastAsia="Calibri" w:hAnsi="Calibri"/>
          <w:b w:val="false"/>
          <w:bCs w:val="false"/>
          <w:i w:val="false"/>
          <w:iCs w:val="false"/>
          <w:color w:val="1A2332"/>
          <w:sz w:val="22"/>
          <w:szCs w:val="22"/>
        </w:rPr>
        <w:t xml:space="preserve">“The draft implied FINRLX ‘scans professional forums’ today. It does not; no forum adapter exists in the repository. The claim conflates roadmap with reality — the exact failure mode the Credibility Audit indicted.” Resolution: §3.3 and §7.2 now grade forum coverage as a Wave-2 build with the explicit rule ‘never simulated meanwhile’.</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TA-2 (resolved): </w:t>
      </w:r>
      <w:r>
        <w:rPr>
          <w:rFonts w:ascii="Calibri" w:cs="Calibri" w:eastAsia="Calibri" w:hAnsi="Calibri"/>
          <w:b w:val="false"/>
          <w:bCs w:val="false"/>
          <w:i w:val="false"/>
          <w:iCs w:val="false"/>
          <w:color w:val="1A2332"/>
          <w:sz w:val="22"/>
          <w:szCs w:val="22"/>
        </w:rPr>
        <w:t xml:space="preserve">“Bloomberg subscriber counts differ across sources (325k Wikipedia 2022; ~355k in 2026 trade press). Quote as a range with both sources, not as one confident number.” Resolution: §2.2 quotes the range.</w:t>
      </w:r>
    </w:p>
    <w:p>
      <w:pPr>
        <w:pStyle w:val="Heading3"/>
        <w:spacing w:after="120" w:before="220"/>
      </w:pPr>
      <w:r>
        <w:rPr>
          <w:rFonts w:ascii="Calibri" w:cs="Calibri" w:eastAsia="Calibri" w:hAnsi="Calibri"/>
          <w:b/>
          <w:bCs/>
          <w:color w:val="0E7C7B"/>
          <w:sz w:val="23"/>
          <w:szCs w:val="23"/>
        </w:rPr>
        <w:t xml:space="preserve">Security / Ops Reviewer</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SO-1 (advisory): </w:t>
      </w:r>
      <w:r>
        <w:rPr>
          <w:rFonts w:ascii="Calibri" w:cs="Calibri" w:eastAsia="Calibri" w:hAnsi="Calibri"/>
          <w:b w:val="false"/>
          <w:bCs w:val="false"/>
          <w:i w:val="false"/>
          <w:iCs w:val="false"/>
          <w:color w:val="1A2332"/>
          <w:sz w:val="22"/>
          <w:szCs w:val="22"/>
        </w:rPr>
        <w:t xml:space="preserve">“The engine-dial aggregator endpoint (§7.2) will fan out to every section status; cap it with the same per-ticker budget discipline as D39 and cache it with the dossier fingerprint, or the Desk header becomes the platform’s hottest endpoint.” Recorded as a Wave-1 implementation constraint.</w:t>
      </w:r>
    </w:p>
    <w:p>
      <w:pPr>
        <w:pStyle w:val="Heading3"/>
        <w:spacing w:after="120" w:before="220"/>
      </w:pPr>
      <w:r>
        <w:rPr>
          <w:rFonts w:ascii="Calibri" w:cs="Calibri" w:eastAsia="Calibri" w:hAnsi="Calibri"/>
          <w:b/>
          <w:bCs/>
          <w:color w:val="0E7C7B"/>
          <w:sz w:val="23"/>
          <w:szCs w:val="23"/>
        </w:rPr>
        <w:t xml:space="preserve">Design Authority</w:t>
      </w:r>
    </w:p>
    <w:p>
      <w:pPr>
        <w:pStyle w:val="ListParagraph"/>
        <w:numPr>
          <w:ilvl w:val="0"/>
          <w:numId w:val="2"/>
        </w:numPr>
        <w:spacing w:after="90" w:line="264"/>
      </w:pPr>
      <w:r>
        <w:rPr>
          <w:rFonts w:ascii="Calibri" w:cs="Calibri" w:eastAsia="Calibri" w:hAnsi="Calibri"/>
          <w:b/>
          <w:bCs/>
          <w:i w:val="false"/>
          <w:iCs w:val="false"/>
          <w:color w:val="1A2332"/>
          <w:sz w:val="22"/>
          <w:szCs w:val="22"/>
        </w:rPr>
        <w:t xml:space="preserve">DA-1 (binding): </w:t>
      </w:r>
      <w:r>
        <w:rPr>
          <w:rFonts w:ascii="Calibri" w:cs="Calibri" w:eastAsia="Calibri" w:hAnsi="Calibri"/>
          <w:b w:val="false"/>
          <w:bCs w:val="false"/>
          <w:i w:val="false"/>
          <w:iCs w:val="false"/>
          <w:color w:val="1A2332"/>
          <w:sz w:val="22"/>
          <w:szCs w:val="22"/>
        </w:rPr>
        <w:t xml:space="preserve">“Rule P3′ is adopted: no Desk UI merges without attached desktop + mobile screenshots of every state it touches, including degraded and E7/E8-gated states. ‘Visual sign-off pending’ ceases to exist as an end-state. Reference standards for review: Danelfin’s score-panel legibility, TrendSpider’s chart density, Koyfin’s information hierarchy — judged on screenshots, not markup.”</w:t>
      </w:r>
    </w:p>
    <w:p>
      <w:pPr>
        <w:pStyle w:val="Heading2"/>
        <w:spacing w:after="160" w:before="280"/>
      </w:pPr>
      <w:r>
        <w:rPr>
          <w:rFonts w:ascii="Calibri" w:cs="Calibri" w:eastAsia="Calibri" w:hAnsi="Calibri"/>
          <w:b/>
          <w:bCs/>
          <w:color w:val="1A2332"/>
          <w:sz w:val="27"/>
          <w:szCs w:val="27"/>
        </w:rPr>
        <w:t xml:space="preserve">8.3 Claims removed by the council</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A draft claim that “FINRLX’s tournament outperforms single-model competitors” — removed: no live comparative evidence exists; the honest claim is architectural (validation machinery competitors lack), and that is the claim this document makes.</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A draft TrendSpider price quoted as a single number — replaced with the sourced range; 2026 sources disagree between promotional and list pricing.</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A draft implication that Simple Mode users would migrate to the Desk — removed as unevidenced; the Desk targets the professional persona; Simple Mode remains the public front door.</w:t>
      </w:r>
    </w:p>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9. Roadmap, KPIs &amp; Operator Decisions</w:t>
      </w:r>
    </w:p>
    <w:p>
      <w:pPr>
        <w:pStyle w:val="Heading2"/>
        <w:spacing w:after="160" w:before="280"/>
      </w:pPr>
      <w:r>
        <w:rPr>
          <w:rFonts w:ascii="Calibri" w:cs="Calibri" w:eastAsia="Calibri" w:hAnsi="Calibri"/>
          <w:b/>
          <w:bCs/>
          <w:color w:val="1A2332"/>
          <w:sz w:val="27"/>
          <w:szCs w:val="27"/>
        </w:rPr>
        <w:t xml:space="preserve">9.1 Waves</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2200"/>
        <w:gridCol w:w="4160"/>
        <w:gridCol w:w="2000"/>
        <w:gridCol w:w="1000"/>
      </w:tblGrid>
      <w:tr>
        <w:trPr>
          <w:tblHeader/>
        </w:trPr>
        <w:tc>
          <w:tcPr>
            <w:tcW w:type="dxa" w:w="22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Wave</w:t>
            </w:r>
          </w:p>
        </w:tc>
        <w:tc>
          <w:tcPr>
            <w:tcW w:type="dxa" w:w="41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Scope</w:t>
            </w:r>
          </w:p>
        </w:tc>
        <w:tc>
          <w:tcPr>
            <w:tcW w:type="dxa" w:w="20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Environment / gate</w:t>
            </w:r>
          </w:p>
        </w:tc>
        <w:tc>
          <w:tcPr>
            <w:tcW w:type="dxa" w:w="10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Est. effort</w:t>
            </w:r>
          </w:p>
        </w:tc>
      </w:tr>
      <w:tr>
        <w:tc>
          <w:tcPr>
            <w:tcW w:type="dxa" w:w="2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Wave 0 — Truth first (in progress)</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Complete Operation Credibility K1 production verification: Finnhub key validity on Railway, SEC egress confirmation, 10-ticker data-health pass. The Desk must not launch onto an unverified data layer</w:t>
            </w:r>
          </w:p>
        </w:tc>
        <w:tc>
          <w:tcPr>
            <w:tcW w:type="dxa" w:w="2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Production env vars (operator); /ops/data-health as the gate</w:t>
            </w:r>
          </w:p>
        </w:tc>
        <w:tc>
          <w:tcPr>
            <w:tcW w:type="dxa" w:w="1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≤1 session + operator checks</w:t>
            </w:r>
          </w:p>
        </w:tc>
      </w:tr>
      <w:tr>
        <w:tc>
          <w:tcPr>
            <w:tcW w:type="dxa" w:w="2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Wave 1 — The Desk core</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Verdict band, hero chart, panels A/B/C/E, Forensic drawers, all state designs, engine-dial aggregator, elevation rule with tests; screenshots per P3′ on every merge</w:t>
            </w:r>
          </w:p>
        </w:tc>
        <w:tc>
          <w:tcPr>
            <w:tcW w:type="dxa" w:w="2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Browser-equipped environment (Claude Code); feature freeze exemption approved by council as ‘credibility exposure’, not new capability</w:t>
            </w:r>
          </w:p>
        </w:tc>
        <w:tc>
          <w:tcPr>
            <w:tcW w:type="dxa" w:w="1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2–3 sessions</w:t>
            </w:r>
          </w:p>
        </w:tc>
      </w:tr>
      <w:tr>
        <w:tc>
          <w:tcPr>
            <w:tcW w:type="dxa" w:w="2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Wave 2 — Full six engines</w:t>
            </w:r>
          </w:p>
        </w:tc>
        <w:tc>
          <w:tcPr>
            <w:tcW w:type="dxa" w:w="41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Social Pulse scored tier (E8), RL tournament leg live (E7), sector-relative module, professional-forum adapter (vetted sources), comparison view</w:t>
            </w:r>
          </w:p>
        </w:tc>
        <w:tc>
          <w:tcPr>
            <w:tcW w:type="dxa" w:w="2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E7 + E8 (operator); adapters through the standard council loop</w:t>
            </w:r>
          </w:p>
        </w:tc>
        <w:tc>
          <w:tcPr>
            <w:tcW w:type="dxa" w:w="10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2 sessions + operator items</w:t>
            </w:r>
          </w:p>
        </w:tc>
      </w:tr>
      <w:tr>
        <w:tc>
          <w:tcPr>
            <w:tcW w:type="dxa" w:w="2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Wave 3 — Living desk</w:t>
            </w:r>
          </w:p>
        </w:tc>
        <w:tc>
          <w:tcPr>
            <w:tcW w:type="dxa" w:w="41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Alert center maturity, watchlist-driven background research, dossier export polish, axe accessibility pass, leap-v3 tag</w:t>
            </w:r>
          </w:p>
        </w:tc>
        <w:tc>
          <w:tcPr>
            <w:tcW w:type="dxa" w:w="2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Standard</w:t>
            </w:r>
          </w:p>
        </w:tc>
        <w:tc>
          <w:tcPr>
            <w:tcW w:type="dxa" w:w="10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1–2 sessions</w:t>
            </w:r>
          </w:p>
        </w:tc>
      </w:tr>
    </w:tbl>
    <w:p>
      <w:pPr>
        <w:pStyle w:val="Heading2"/>
        <w:spacing w:after="160" w:before="280"/>
      </w:pPr>
      <w:r>
        <w:rPr>
          <w:rFonts w:ascii="Calibri" w:cs="Calibri" w:eastAsia="Calibri" w:hAnsi="Calibri"/>
          <w:b/>
          <w:bCs/>
          <w:color w:val="1A2332"/>
          <w:sz w:val="27"/>
          <w:szCs w:val="27"/>
        </w:rPr>
        <w:t xml:space="preserve">9.2 KPIs (measured, not asserted)</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K-1 First-verdict time: warm ≤2s to complete Verdict layer; cold ≤ D39 budgets with staged progress visible throughout.</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K-2 Zero-fiction invariant: automated scan finds no synthetic series and no dash-walls on any Desk state, every merge (existing K1 tests extended).</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K-3 Explanation coverage: 100% of automated conclusions carry a working Forensic drawer (DOM-tested).</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K-4 Ten-ticker reality gate: the K1 QA list renders ≥90% signal population on production data before Wave-1 ships.</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K-5 Screenshot compliance: 100% of UI merges carry the P3′ artifact set.</w:t>
      </w:r>
    </w:p>
    <w:p>
      <w:pPr>
        <w:pStyle w:val="ListParagraph"/>
        <w:numPr>
          <w:ilvl w:val="0"/>
          <w:numId w:val="3"/>
        </w:numPr>
        <w:spacing w:after="90" w:line="264"/>
      </w:pPr>
      <w:r>
        <w:rPr>
          <w:rFonts w:ascii="Calibri" w:cs="Calibri" w:eastAsia="Calibri" w:hAnsi="Calibri"/>
          <w:b w:val="false"/>
          <w:bCs w:val="false"/>
          <w:i w:val="false"/>
          <w:iCs w:val="false"/>
          <w:color w:val="1A2332"/>
          <w:sz w:val="22"/>
          <w:szCs w:val="22"/>
        </w:rPr>
        <w:t xml:space="preserve">K-6 Operator acceptance restated from the brief: load one ticker; the first screen contains a real chart, a defensible stance, six honest dials, and not one invented number.</w:t>
      </w:r>
    </w:p>
    <w:p>
      <w:pPr>
        <w:pStyle w:val="Heading2"/>
        <w:spacing w:after="160" w:before="280"/>
      </w:pPr>
      <w:r>
        <w:rPr>
          <w:rFonts w:ascii="Calibri" w:cs="Calibri" w:eastAsia="Calibri" w:hAnsi="Calibri"/>
          <w:b/>
          <w:bCs/>
          <w:color w:val="1A2332"/>
          <w:sz w:val="27"/>
          <w:szCs w:val="27"/>
        </w:rPr>
        <w:t xml:space="preserve">9.3 Decisions reserved to the operator (Blocked Reports, not questions)</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E1 — rotate the exposed PAT and install the pending CI workflow (precondition for P3′ artifact checks in CI). Note: the current token was again exposed in the operating channel this session; rotation urgency is elevated.</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E7 — provision the torch research worker (activates real PPO/A2C tournament legs and the FinGPT lane).</w:t>
      </w:r>
    </w:p>
    <w:p>
      <w:pPr>
        <w:pStyle w:val="ListParagraph"/>
        <w:numPr>
          <w:ilvl w:val="0"/>
          <w:numId w:val="2"/>
        </w:numPr>
        <w:spacing w:after="90" w:line="264"/>
      </w:pPr>
      <w:r>
        <w:rPr>
          <w:rFonts w:ascii="Calibri" w:cs="Calibri" w:eastAsia="Calibri" w:hAnsi="Calibri"/>
          <w:b w:val="false"/>
          <w:bCs w:val="false"/>
          <w:i w:val="false"/>
          <w:iCs w:val="false"/>
          <w:color w:val="1A2332"/>
          <w:sz w:val="22"/>
          <w:szCs w:val="22"/>
        </w:rPr>
        <w:t xml:space="preserve">E8 — Finnhub social tier (activates scored social sentiment; the labeled fallback remains honest meanwhile).</w:t>
      </w:r>
    </w:p>
    <w:p>
      <w:r>
        <w:br w:type="page"/>
      </w:r>
    </w:p>
    <w:p>
      <w:pPr>
        <w:pStyle w:val="Heading1"/>
        <w:pBdr>
          <w:bottom w:val="single" w:color="0E7C7B" w:sz="8" w:space="4"/>
        </w:pBdr>
        <w:spacing w:after="220" w:before="360"/>
      </w:pPr>
      <w:r>
        <w:rPr>
          <w:rFonts w:ascii="Calibri" w:cs="Calibri" w:eastAsia="Calibri" w:hAnsi="Calibri"/>
          <w:b/>
          <w:bCs/>
          <w:color w:val="1F4E79"/>
          <w:sz w:val="34"/>
          <w:szCs w:val="34"/>
        </w:rPr>
        <w:t xml:space="preserve">Appendix A — Source Register</w:t>
      </w:r>
    </w:p>
    <w:p>
      <w:pPr>
        <w:spacing w:after="160" w:before="0" w:line="276"/>
        <w:jc w:val="both"/>
      </w:pPr>
      <w:r>
        <w:rPr>
          <w:rFonts w:ascii="Calibri" w:cs="Calibri" w:eastAsia="Calibri" w:hAnsi="Calibri"/>
          <w:b w:val="false"/>
          <w:bCs w:val="false"/>
          <w:i w:val="false"/>
          <w:iCs w:val="false"/>
          <w:color w:val="1A2332"/>
          <w:sz w:val="22"/>
          <w:szCs w:val="22"/>
        </w:rPr>
        <w:t xml:space="preserve">All external sources retrieved and read July 2026. Pricing and features change; figures reflect retrieval date.</w:t>
      </w:r>
    </w:p>
    <w:tbl>
      <w:tblPr>
        <w:tblW w:type="dxa" w:w="9360"/>
        <w:tblBorders>
          <w:top w:val="single" w:color="C9D1DA" w:sz="4"/>
          <w:left w:val="single" w:color="C9D1DA" w:sz="4"/>
          <w:bottom w:val="single" w:color="C9D1DA" w:sz="4"/>
          <w:right w:val="single" w:color="C9D1DA" w:sz="4"/>
          <w:insideH w:val="single" w:color="C9D1DA" w:sz="2"/>
          <w:insideV w:val="single" w:color="C9D1DA" w:sz="2"/>
        </w:tblBorders>
      </w:tblPr>
      <w:tblGrid>
        <w:gridCol w:w="700"/>
        <w:gridCol w:w="4460"/>
        <w:gridCol w:w="4200"/>
      </w:tblGrid>
      <w:tr>
        <w:trPr>
          <w:tblHeader/>
        </w:trPr>
        <w:tc>
          <w:tcPr>
            <w:tcW w:type="dxa" w:w="7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ID</w:t>
            </w:r>
          </w:p>
        </w:tc>
        <w:tc>
          <w:tcPr>
            <w:tcW w:type="dxa" w:w="446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Source</w:t>
            </w:r>
          </w:p>
        </w:tc>
        <w:tc>
          <w:tcPr>
            <w:tcW w:type="dxa" w:w="4200"/>
            <w:shd w:fill="1F4E79" w:val="clear"/>
            <w:tcMar>
              <w:top w:type="dxa" w:w="60"/>
              <w:left w:type="dxa" w:w="100"/>
              <w:bottom w:type="dxa" w:w="60"/>
              <w:right w:type="dxa" w:w="100"/>
            </w:tcMar>
          </w:tcPr>
          <w:p>
            <w:pPr>
              <w:spacing w:after="40" w:before="40"/>
              <w:jc w:val="left"/>
            </w:pPr>
            <w:r>
              <w:rPr>
                <w:rFonts w:ascii="Calibri" w:cs="Calibri" w:eastAsia="Calibri" w:hAnsi="Calibri"/>
                <w:b/>
                <w:bCs/>
                <w:i w:val="false"/>
                <w:iCs w:val="false"/>
                <w:color w:val="FFFFFF"/>
                <w:sz w:val="19"/>
                <w:szCs w:val="19"/>
              </w:rPr>
              <w:t xml:space="preserve">Used for</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godeldiscount.com/blog/bloomberg-terminal-cost-2026</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Bloomberg 2026 pricing ($31,980 / $28,320), 6.5% 2025 increase, contract terms</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S2</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costbench.com — Bloomberg Terminal pricing (verified May 2026, 15 sources)</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Pricing corroboration, tier structure</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S3</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en.wikipedia.org/wiki/Bloomberg_Terminal</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Subscriber count (325k, 2022), revenue share, product history</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S4</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tradingtoolshub.com — Bloomberg cost &amp; features 2026</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Capability decomposition; stack-replacement estimate</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S5</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koyfin.com/pricing + koyfin.com/help/pro-discontinuation</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Koyfin 2026 plan structure, Pro retirement (April 2026)</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S6</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g2.com/products/koyfin/pricing; capterra.com Koyfin profile</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Tier prices $39/$79/$209/$299; Capital IQ backing; 500k users</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S7</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danelfin.com + danelfin.com/how-it-works</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AI Score mechanism, 10,000 features/day, 600/150/150 indicator split, explainability positioning, backtest disclosure</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S8</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danelfin.com strategy disclosure</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+376% vs +166% figure with vendor’s own ‘backtested results’ label</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S9</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alphagaindaily.com Danelfin reviews (2026)</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Tier pricing Free/$28/$79/$299; backtest-vs-live caveat (10–20% divergence)</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S10</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trendspider.com + trendspider.com/pricing</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AI Strategy Lab, Sidekick, 200+ indicators, strategy tester, data-fee structure</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S11</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propfirmapp.com/trading-tools/trendspider (2026)</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AI Strategy Lab model types (RF/KNN/NB/LogReg); April-2026 agentic coding update</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S12</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softwarefinder.com; daytradingtoolkit.com; stockbrokers.com TrendSpider reviews</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2026 price ranges across sources ($54–$122+; discrepancies disclosed)</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S13</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alpha-sense.com/pricing + /what-is-alphasense + /product-releases-2025</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500M docs, 240k expert transcripts, live transcripts 5,000 companies, sentiment analysis, S&amp;P-100 penetration</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S14</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intuitionlabs.ai AlphaSense platform review</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Proprietary financial-language sentiment; dashboards; black-lining</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S15</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elevatedsignal.com/compare/alphasense; tomba.io AlphaSense pricing 2026</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Reported seat ranges $15k–$20k / $40k+ (quote-only vendor)</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S16</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altindex.com/trending-stocks + /alternative-data</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Platform coverage (Reddit/X/StockTwits/TipRanks + web/app/hiring), refresh cadences, AI Score</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S17</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adanos.org sentiment-tracker comparison (June 2026)</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AltIndex API tier details; ‘undisclosed methodology’ criticism; StockTwits API status</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S18</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trendedgeai.com/reviews/altindex</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AltIndex pricing $29/$99, no free tier</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S19</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stockbrokers.com + daytradingtoolkit.com Trade Ideas reviews 2026</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Holly AI mechanics, plan structure, published trade-log transparency</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S20</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propfirmapp.com; tradewink.com Trade Ideas 2026</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Price ranges $118–$254/mo; crowding caveat</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S21</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github.com/AI4Finance-Foundation/FinRL</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FinRL framework, algorithms (DQN/DDPG/PPO/SAC/A2C/TD3), AI4Finance Foundation stewardship</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S22</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arxiv.org/pdf/2011.09607 (NeurIPS 2020 Deep RL Workshop)</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FinRL academic provenance, layered architecture, market environments</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S23</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nngroup.com/articles/progressive-disclosure (Nielsen)</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Progressive disclosure definition; two-level usability ceiling; initial/secondary split guidance</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S23-b</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Layered algorithmic-explanation pattern (‘How was this calculated?’) per progressive-disclosure transparency literature</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Forensic drawer anatomy (§5.5)</w:t>
            </w:r>
          </w:p>
        </w:tc>
      </w:tr>
      <w:tr>
        <w:tc>
          <w:tcPr>
            <w:tcW w:type="dxa" w:w="7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S24</w:t>
            </w:r>
          </w:p>
        </w:tc>
        <w:tc>
          <w:tcPr>
            <w:tcW w:type="dxa" w:w="446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Internal: CREDIBILITY_AUDIT_2026-07-07.md (repository)</w:t>
            </w:r>
          </w:p>
        </w:tc>
        <w:tc>
          <w:tcPr>
            <w:tcW w:type="dxa" w:w="4200"/>
            <w:shd w:fill="FFFFFF"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Investing.com Mar-2026 survey (n=938): 62% adoption, 54% partial trust, 38.9% top fear; OSC black-box finding; RC1–RC5; findings A–D</w:t>
            </w:r>
          </w:p>
        </w:tc>
      </w:tr>
      <w:tr>
        <w:tc>
          <w:tcPr>
            <w:tcW w:type="dxa" w:w="7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S25</w:t>
            </w:r>
          </w:p>
        </w:tc>
        <w:tc>
          <w:tcPr>
            <w:tcW w:type="dxa" w:w="446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Internal: repository code + test suites @ cbea0fa</w:t>
            </w:r>
          </w:p>
        </w:tc>
        <w:tc>
          <w:tcPr>
            <w:tcW w:type="dxa" w:w="4200"/>
            <w:shd w:fill="F2F5F8" w:val="clear"/>
            <w:tcMar>
              <w:top w:type="dxa" w:w="50"/>
              <w:left w:type="dxa" w:w="100"/>
              <w:bottom w:type="dxa" w:w="50"/>
              <w:right w:type="dxa" w:w="100"/>
            </w:tcMar>
          </w:tcPr>
          <w:p>
            <w:pPr>
              <w:spacing w:after="40" w:before="40"/>
              <w:jc w:val="left"/>
            </w:pPr>
            <w:r>
              <w:rPr>
                <w:rFonts w:ascii="Calibri" w:cs="Calibri" w:eastAsia="Calibri" w:hAnsi="Calibri"/>
                <w:b w:val="false"/>
                <w:bCs w:val="false"/>
                <w:i w:val="false"/>
                <w:iCs w:val="false"/>
                <w:color w:val="1A2332"/>
                <w:sz w:val="18"/>
                <w:szCs w:val="18"/>
              </w:rPr>
              <w:t xml:space="preserve">Every claim in §3, §6 and §7 (file paths inline)</w:t>
            </w:r>
          </w:p>
        </w:tc>
      </w:tr>
    </w:tbl>
    <w:p>
      <w:pPr>
        <w:spacing w:after="160"/>
      </w:pPr>
    </w:p>
    <w:p>
      <w:pPr>
        <w:spacing w:after="160" w:before="0" w:line="276"/>
        <w:jc w:val="both"/>
      </w:pPr>
      <w:r>
        <w:rPr>
          <w:rFonts w:ascii="Calibri" w:cs="Calibri" w:eastAsia="Calibri" w:hAnsi="Calibri"/>
          <w:b/>
          <w:bCs/>
          <w:i w:val="false"/>
          <w:iCs w:val="false"/>
          <w:color w:val="1A2332"/>
          <w:sz w:val="22"/>
          <w:szCs w:val="22"/>
        </w:rPr>
        <w:t xml:space="preserve">Disclaimer. </w:t>
      </w:r>
      <w:r>
        <w:rPr>
          <w:rFonts w:ascii="Calibri" w:cs="Calibri" w:eastAsia="Calibri" w:hAnsi="Calibri"/>
          <w:b w:val="false"/>
          <w:bCs w:val="false"/>
          <w:i w:val="false"/>
          <w:iCs w:val="false"/>
          <w:color w:val="1A2332"/>
          <w:sz w:val="22"/>
          <w:szCs w:val="22"/>
        </w:rPr>
        <w:t xml:space="preserve">This document is product research and design specification. Nothing in it constitutes investment advice, and no performance claim herein — the platform’s or any competitor’s — should be read as a prediction of future results. Competitor trademarks belong to their owners; figures are quoted for comparative product analysis under the evidence standard of §0.</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3A0"/>
        <w:sz w:val="16"/>
        <w:szCs w:val="16"/>
      </w:rPr>
      <w:t xml:space="preserve">Program LEAP · 2026-07-07    </w:t>
    </w:r>
    <w:r>
      <w:rPr>
        <w:rFonts w:ascii="Calibri" w:cs="Calibri" w:eastAsia="Calibri" w:hAnsi="Calibri"/>
        <w:color w:val="8A93A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A" w:sz="4" w:space="2"/>
      </w:pBdr>
      <w:jc w:val="right"/>
    </w:pPr>
    <w:r>
      <w:rPr>
        <w:rFonts w:ascii="Calibri" w:cs="Calibri" w:eastAsia="Calibri" w:hAnsi="Calibri"/>
        <w:color w:val="8A93A0"/>
        <w:sz w:val="16"/>
        <w:szCs w:val="16"/>
      </w:rPr>
      <w:t xml:space="preserve">FINRLX · The Unified Research Desk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35910c220670f38fdb18a5b63814612dad9f77.png"/><Relationship Id="rId10" Type="http://schemas.openxmlformats.org/officeDocument/2006/relationships/image" Target="media/3ec9f553f6a2bad4c3d55a9f8612d005d83f64c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FINRLX — The Unified Research Desk</dc:title>
  <dc:creator>FINRLX Multi-Agent Research Program</dc:creator>
  <dc:description>Market research, capability assessment and UX/UI design specification</dc:description>
  <cp:lastModifiedBy>Un-named</cp:lastModifiedBy>
  <cp:revision>1</cp:revision>
  <dcterms:created xsi:type="dcterms:W3CDTF">2026-07-07T17:23:07.482Z</dcterms:created>
  <dcterms:modified xsi:type="dcterms:W3CDTF">2026-07-07T17:23:07.496Z</dcterms:modified>
</cp:coreProperties>
</file>

<file path=docProps/custom.xml><?xml version="1.0" encoding="utf-8"?>
<Properties xmlns="http://schemas.openxmlformats.org/officeDocument/2006/custom-properties" xmlns:vt="http://schemas.openxmlformats.org/officeDocument/2006/docPropsVTypes"/>
</file>