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11. Data Model and Schema Specification</w:t>
      </w:r>
    </w:p>
    <w:p>
      <w:pPr>
        <w:pStyle w:val="SubtitleQP"/>
        <w:jc w:val="center"/>
      </w:pPr>
      <w:r>
        <w:t>Canonical entities, storage design, lineage, and schema rules for QuantPipeline</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11</w:t>
            </w:r>
          </w:p>
        </w:tc>
      </w:tr>
      <w:tr>
        <w:tc>
          <w:tcPr>
            <w:tcW w:type="dxa" w:w="2880"/>
            <w:vAlign w:val="center"/>
          </w:tcPr>
          <w:p>
            <w:r>
              <w:t>Title</w:t>
            </w:r>
          </w:p>
        </w:tc>
        <w:tc>
          <w:tcPr>
            <w:tcW w:type="dxa" w:w="6912"/>
            <w:vAlign w:val="center"/>
          </w:tcPr>
          <w:p>
            <w:r>
              <w:t>Data Model and Schema Specification</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Documents 10 and 12,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Purpose and Modeling Scope</w:t>
      </w:r>
    </w:p>
    <w:p>
      <w:pPr>
        <w:spacing w:after="120" w:line="276" w:lineRule="auto"/>
      </w:pPr>
      <w:r>
        <w:t>This document defines the canonical data model for QuantPipeline. It specifies the main entities, tables, relationships, identifiers, temporal rules, lineage requirements, and storage conventions required to support one coherent recommendation pipeline across operational usage, replay, backtesting, paper shadowing, and admin oversight.</w:t>
      </w:r>
    </w:p>
    <w:p>
      <w:pPr>
        <w:spacing w:after="120" w:line="276" w:lineRule="auto"/>
      </w:pPr>
      <w:r>
        <w:t>The central design rule is that decisions must be reconstructable. It is not enough to store the final recommendation. The schema must preserve what was known, which features existed, which policy versions were active, what each stage decided, which guardrails modified the output, and what was finally published or suppressed.</w:t>
      </w:r>
    </w:p>
    <w:p>
      <w:pPr>
        <w:pStyle w:val="Heading1"/>
      </w:pPr>
      <w:r>
        <w:t>2. Data Modeling Principles</w:t>
      </w:r>
    </w:p>
    <w:p>
      <w:pPr>
        <w:pStyle w:val="ListBullet"/>
      </w:pPr>
      <w:r>
        <w:t>Stable identifiers over mutable labels.</w:t>
      </w:r>
    </w:p>
    <w:p>
      <w:pPr>
        <w:pStyle w:val="ListBullet"/>
      </w:pPr>
      <w:r>
        <w:t>Append-only history for decision outputs and publication records.</w:t>
      </w:r>
    </w:p>
    <w:p>
      <w:pPr>
        <w:pStyle w:val="ListBullet"/>
      </w:pPr>
      <w:r>
        <w:t>Explicit timestamps for event time, processing time, and publication time.</w:t>
      </w:r>
    </w:p>
    <w:p>
      <w:pPr>
        <w:pStyle w:val="ListBullet"/>
      </w:pPr>
      <w:r>
        <w:t>Freshness and confidence as stored fields, not implied behavior.</w:t>
      </w:r>
    </w:p>
    <w:p>
      <w:pPr>
        <w:pStyle w:val="ListBullet"/>
      </w:pPr>
      <w:r>
        <w:t>Separation of raw source preservation from curated analytical state.</w:t>
      </w:r>
    </w:p>
    <w:p>
      <w:pPr>
        <w:pStyle w:val="ListBullet"/>
      </w:pPr>
      <w:r>
        <w:t>Separation of canonical domain entities from denormalized read models.</w:t>
      </w:r>
    </w:p>
    <w:p>
      <w:pPr>
        <w:pStyle w:val="ListBullet"/>
      </w:pPr>
      <w:r>
        <w:t>Schema support for both production recommendations and historical validation artifacts.</w:t>
      </w:r>
    </w:p>
    <w:p>
      <w:pPr>
        <w:pStyle w:val="ListBullet"/>
      </w:pPr>
      <w:r>
        <w:t>Version every policy, model, feature recipe, and manual override that can affect output.</w:t>
      </w:r>
    </w:p>
    <w:p>
      <w:pPr>
        <w:pStyle w:val="Heading1"/>
      </w:pPr>
      <w:r>
        <w:t>3. Canonical Data Domains</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1_data_model_domains.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11-1. Canonical data domains and their metadata spine.</w:t>
      </w:r>
    </w:p>
    <w:p/>
    <w:p>
      <w:pPr>
        <w:spacing w:after="120" w:line="276" w:lineRule="auto"/>
      </w:pPr>
      <w:r>
        <w:t>The schema is organized into seven domains: reference data, raw and curated inputs, feature and signal store, decision-stage objects, recommendation and publication history, validation artifacts, and ops/audit records. A shared metadata spine provides stable ids, time semantics, lineage, confidence, and policy versioning across all domains.</w:t>
      </w:r>
    </w:p>
    <w:p>
      <w:pPr>
        <w:pStyle w:val="Heading1"/>
      </w:pPr>
      <w:r>
        <w:t>4. Identifier and Time Semantics</w:t>
      </w:r>
    </w:p>
    <w:p>
      <w:pPr>
        <w:spacing w:after="120" w:line="276" w:lineRule="auto"/>
      </w:pPr>
      <w:r>
        <w:t>Every persisted object that can appear in a user-facing flow should have a stable identifier. Internal row ids may exist for convenience, but they must not be the sole reference mechanism for recommendation runs, replay ids, experiment ids, or incident ids.</w:t>
      </w:r>
    </w:p>
    <w:p>
      <w:pPr>
        <w:spacing w:after="120" w:line="276" w:lineRule="auto"/>
      </w:pPr>
      <w:r>
        <w:t>QuantPipeline requires three families of time fields. Event time captures when the market or text event actually occurred. Processing time captures when QuantPipeline ingested or derived the object. Effective time captures the time window for which a feature set, policy output, or recommendation is considered valid.</w:t>
      </w:r>
    </w:p>
    <w:p>
      <w:pPr>
        <w:spacing w:after="120" w:line="276" w:lineRule="auto"/>
      </w:pPr>
      <w:r>
        <w:t>Where historical correction is possible, preserve both original source timestamps and normalized timestamps. Do not overwrite raw timestamps during normalization.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D9EAF7"/>
            <w:vAlign w:val="center"/>
          </w:tcPr>
          <w:p>
            <w:r>
              <w:rPr>
                <w:b/>
              </w:rPr>
              <w:t>Field family</w:t>
            </w:r>
          </w:p>
        </w:tc>
        <w:tc>
          <w:tcPr>
            <w:tcW w:type="dxa" w:w="2736"/>
            <w:shd w:fill="D9EAF7"/>
            <w:vAlign w:val="center"/>
          </w:tcPr>
          <w:p>
            <w:r>
              <w:rPr>
                <w:b/>
              </w:rPr>
              <w:t>Example</w:t>
            </w:r>
          </w:p>
        </w:tc>
        <w:tc>
          <w:tcPr>
            <w:tcW w:type="dxa" w:w="4320"/>
            <w:shd w:fill="D9EAF7"/>
            <w:vAlign w:val="center"/>
          </w:tcPr>
          <w:p>
            <w:r>
              <w:rPr>
                <w:b/>
              </w:rPr>
              <w:t>Why it exists</w:t>
            </w:r>
          </w:p>
        </w:tc>
      </w:tr>
      <w:tr>
        <w:tc>
          <w:tcPr>
            <w:tcW w:type="dxa" w:w="2160"/>
            <w:vAlign w:val="center"/>
          </w:tcPr>
          <w:p>
            <w:r>
              <w:t>Stable ids</w:t>
            </w:r>
          </w:p>
        </w:tc>
        <w:tc>
          <w:tcPr>
            <w:tcW w:type="dxa" w:w="2736"/>
            <w:vAlign w:val="center"/>
          </w:tcPr>
          <w:p>
            <w:r>
              <w:t>asset_id, recommendation_id, experiment_id</w:t>
            </w:r>
          </w:p>
        </w:tc>
        <w:tc>
          <w:tcPr>
            <w:tcW w:type="dxa" w:w="4320"/>
            <w:vAlign w:val="center"/>
          </w:tcPr>
          <w:p>
            <w:r>
              <w:t>Cross-table joins, API references, replay</w:t>
            </w:r>
          </w:p>
        </w:tc>
      </w:tr>
      <w:tr>
        <w:tc>
          <w:tcPr>
            <w:tcW w:type="dxa" w:w="2160"/>
            <w:vAlign w:val="center"/>
          </w:tcPr>
          <w:p>
            <w:r>
              <w:t>Event time</w:t>
            </w:r>
          </w:p>
        </w:tc>
        <w:tc>
          <w:tcPr>
            <w:tcW w:type="dxa" w:w="2736"/>
            <w:vAlign w:val="center"/>
          </w:tcPr>
          <w:p>
            <w:r>
              <w:t>bar_close_ts, article_published_ts</w:t>
            </w:r>
          </w:p>
        </w:tc>
        <w:tc>
          <w:tcPr>
            <w:tcW w:type="dxa" w:w="4320"/>
            <w:vAlign w:val="center"/>
          </w:tcPr>
          <w:p>
            <w:r>
              <w:t>Temporal alignment and causality</w:t>
            </w:r>
          </w:p>
        </w:tc>
      </w:tr>
      <w:tr>
        <w:tc>
          <w:tcPr>
            <w:tcW w:type="dxa" w:w="2160"/>
            <w:vAlign w:val="center"/>
          </w:tcPr>
          <w:p>
            <w:r>
              <w:t>Processing time</w:t>
            </w:r>
          </w:p>
        </w:tc>
        <w:tc>
          <w:tcPr>
            <w:tcW w:type="dxa" w:w="2736"/>
            <w:vAlign w:val="center"/>
          </w:tcPr>
          <w:p>
            <w:r>
              <w:t>ingested_at, feature_computed_at</w:t>
            </w:r>
          </w:p>
        </w:tc>
        <w:tc>
          <w:tcPr>
            <w:tcW w:type="dxa" w:w="4320"/>
            <w:vAlign w:val="center"/>
          </w:tcPr>
          <w:p>
            <w:r>
              <w:t>Operational freshness and debugging</w:t>
            </w:r>
          </w:p>
        </w:tc>
      </w:tr>
      <w:tr>
        <w:tc>
          <w:tcPr>
            <w:tcW w:type="dxa" w:w="2160"/>
            <w:vAlign w:val="center"/>
          </w:tcPr>
          <w:p>
            <w:r>
              <w:t>Effective window</w:t>
            </w:r>
          </w:p>
        </w:tc>
        <w:tc>
          <w:tcPr>
            <w:tcW w:type="dxa" w:w="2736"/>
            <w:vAlign w:val="center"/>
          </w:tcPr>
          <w:p>
            <w:r>
              <w:t>valid_from, valid_to</w:t>
            </w:r>
          </w:p>
        </w:tc>
        <w:tc>
          <w:tcPr>
            <w:tcW w:type="dxa" w:w="4320"/>
            <w:vAlign w:val="center"/>
          </w:tcPr>
          <w:p>
            <w:r>
              <w:t>Publication and scenario comparisons</w:t>
            </w:r>
          </w:p>
        </w:tc>
      </w:tr>
      <w:tr>
        <w:tc>
          <w:tcPr>
            <w:tcW w:type="dxa" w:w="2160"/>
            <w:vAlign w:val="center"/>
          </w:tcPr>
          <w:p>
            <w:r>
              <w:t>Version refs</w:t>
            </w:r>
          </w:p>
        </w:tc>
        <w:tc>
          <w:tcPr>
            <w:tcW w:type="dxa" w:w="2736"/>
            <w:vAlign w:val="center"/>
          </w:tcPr>
          <w:p>
            <w:r>
              <w:t>policy_version_id, model_version_id</w:t>
            </w:r>
          </w:p>
        </w:tc>
        <w:tc>
          <w:tcPr>
            <w:tcW w:type="dxa" w:w="4320"/>
            <w:vAlign w:val="center"/>
          </w:tcPr>
          <w:p>
            <w:r>
              <w:t>Reproducibility and governance</w:t>
            </w:r>
          </w:p>
        </w:tc>
      </w:tr>
    </w:tbl>
    <w:p/>
    <w:p>
      <w:pPr>
        <w:pStyle w:val="Heading1"/>
      </w:pPr>
      <w:r>
        <w:t>5. Reference Data Domain</w:t>
      </w:r>
    </w:p>
    <w:p>
      <w:pPr>
        <w:spacing w:after="120" w:line="276" w:lineRule="auto"/>
      </w:pPr>
      <w:r>
        <w:t>Reference data defines what can be analyzed and how instruments are grouped. It includes instruments, universes, watchlists, classification mappings, benchmark definitions, and user-managed scenario sets.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Table</w:t>
            </w:r>
          </w:p>
        </w:tc>
        <w:tc>
          <w:tcPr>
            <w:tcW w:type="dxa" w:w="2592"/>
            <w:shd w:fill="D9EAF7"/>
            <w:vAlign w:val="center"/>
          </w:tcPr>
          <w:p>
            <w:r>
              <w:rPr>
                <w:b/>
              </w:rPr>
              <w:t>Purpose</w:t>
            </w:r>
          </w:p>
        </w:tc>
        <w:tc>
          <w:tcPr>
            <w:tcW w:type="dxa" w:w="4464"/>
            <w:shd w:fill="D9EAF7"/>
            <w:vAlign w:val="center"/>
          </w:tcPr>
          <w:p>
            <w:r>
              <w:rPr>
                <w:b/>
              </w:rPr>
              <w:t>Key columns</w:t>
            </w:r>
          </w:p>
        </w:tc>
      </w:tr>
      <w:tr>
        <w:tc>
          <w:tcPr>
            <w:tcW w:type="dxa" w:w="2304"/>
            <w:vAlign w:val="center"/>
          </w:tcPr>
          <w:p>
            <w:r>
              <w:t>assets</w:t>
            </w:r>
          </w:p>
        </w:tc>
        <w:tc>
          <w:tcPr>
            <w:tcW w:type="dxa" w:w="2592"/>
            <w:vAlign w:val="center"/>
          </w:tcPr>
          <w:p>
            <w:r>
              <w:t>Canonical tradable instruments</w:t>
            </w:r>
          </w:p>
        </w:tc>
        <w:tc>
          <w:tcPr>
            <w:tcW w:type="dxa" w:w="4464"/>
            <w:vAlign w:val="center"/>
          </w:tcPr>
          <w:p>
            <w:r>
              <w:t>asset_id, ticker, asset_type, currency, exchange, is_active</w:t>
            </w:r>
          </w:p>
        </w:tc>
      </w:tr>
      <w:tr>
        <w:tc>
          <w:tcPr>
            <w:tcW w:type="dxa" w:w="2304"/>
            <w:vAlign w:val="center"/>
          </w:tcPr>
          <w:p>
            <w:r>
              <w:t>asset_aliases</w:t>
            </w:r>
          </w:p>
        </w:tc>
        <w:tc>
          <w:tcPr>
            <w:tcW w:type="dxa" w:w="2592"/>
            <w:vAlign w:val="center"/>
          </w:tcPr>
          <w:p>
            <w:r>
              <w:t>Ticker and vendor symbol resolution</w:t>
            </w:r>
          </w:p>
        </w:tc>
        <w:tc>
          <w:tcPr>
            <w:tcW w:type="dxa" w:w="4464"/>
            <w:vAlign w:val="center"/>
          </w:tcPr>
          <w:p>
            <w:r>
              <w:t>alias_id, asset_id, provider, alias_value</w:t>
            </w:r>
          </w:p>
        </w:tc>
      </w:tr>
      <w:tr>
        <w:tc>
          <w:tcPr>
            <w:tcW w:type="dxa" w:w="2304"/>
            <w:vAlign w:val="center"/>
          </w:tcPr>
          <w:p>
            <w:r>
              <w:t>asset_classifications</w:t>
            </w:r>
          </w:p>
        </w:tc>
        <w:tc>
          <w:tcPr>
            <w:tcW w:type="dxa" w:w="2592"/>
            <w:vAlign w:val="center"/>
          </w:tcPr>
          <w:p>
            <w:r>
              <w:t>Sector, industry, theme, region</w:t>
            </w:r>
          </w:p>
        </w:tc>
        <w:tc>
          <w:tcPr>
            <w:tcW w:type="dxa" w:w="4464"/>
            <w:vAlign w:val="center"/>
          </w:tcPr>
          <w:p>
            <w:r>
              <w:t>classification_id, asset_id, taxonomy, value</w:t>
            </w:r>
          </w:p>
        </w:tc>
      </w:tr>
      <w:tr>
        <w:tc>
          <w:tcPr>
            <w:tcW w:type="dxa" w:w="2304"/>
            <w:vAlign w:val="center"/>
          </w:tcPr>
          <w:p>
            <w:r>
              <w:t>universes</w:t>
            </w:r>
          </w:p>
        </w:tc>
        <w:tc>
          <w:tcPr>
            <w:tcW w:type="dxa" w:w="2592"/>
            <w:vAlign w:val="center"/>
          </w:tcPr>
          <w:p>
            <w:r>
              <w:t>Named investment universes</w:t>
            </w:r>
          </w:p>
        </w:tc>
        <w:tc>
          <w:tcPr>
            <w:tcW w:type="dxa" w:w="4464"/>
            <w:vAlign w:val="center"/>
          </w:tcPr>
          <w:p>
            <w:r>
              <w:t>universe_id, name, scope_type, status</w:t>
            </w:r>
          </w:p>
        </w:tc>
      </w:tr>
      <w:tr>
        <w:tc>
          <w:tcPr>
            <w:tcW w:type="dxa" w:w="2304"/>
            <w:vAlign w:val="center"/>
          </w:tcPr>
          <w:p>
            <w:r>
              <w:t>universe_membership</w:t>
            </w:r>
          </w:p>
        </w:tc>
        <w:tc>
          <w:tcPr>
            <w:tcW w:type="dxa" w:w="2592"/>
            <w:vAlign w:val="center"/>
          </w:tcPr>
          <w:p>
            <w:r>
              <w:t>Membership history</w:t>
            </w:r>
          </w:p>
        </w:tc>
        <w:tc>
          <w:tcPr>
            <w:tcW w:type="dxa" w:w="4464"/>
            <w:vAlign w:val="center"/>
          </w:tcPr>
          <w:p>
            <w:r>
              <w:t>universe_id, asset_id, effective_from, effective_to</w:t>
            </w:r>
          </w:p>
        </w:tc>
      </w:tr>
      <w:tr>
        <w:tc>
          <w:tcPr>
            <w:tcW w:type="dxa" w:w="2304"/>
            <w:vAlign w:val="center"/>
          </w:tcPr>
          <w:p>
            <w:r>
              <w:t>watchlists</w:t>
            </w:r>
          </w:p>
        </w:tc>
        <w:tc>
          <w:tcPr>
            <w:tcW w:type="dxa" w:w="2592"/>
            <w:vAlign w:val="center"/>
          </w:tcPr>
          <w:p>
            <w:r>
              <w:t>User-defined collections</w:t>
            </w:r>
          </w:p>
        </w:tc>
        <w:tc>
          <w:tcPr>
            <w:tcW w:type="dxa" w:w="4464"/>
            <w:vAlign w:val="center"/>
          </w:tcPr>
          <w:p>
            <w:r>
              <w:t>watchlist_id, owner_id, name, notes</w:t>
            </w:r>
          </w:p>
        </w:tc>
      </w:tr>
      <w:tr>
        <w:tc>
          <w:tcPr>
            <w:tcW w:type="dxa" w:w="2304"/>
            <w:vAlign w:val="center"/>
          </w:tcPr>
          <w:p>
            <w:r>
              <w:t>watchlist_membership</w:t>
            </w:r>
          </w:p>
        </w:tc>
        <w:tc>
          <w:tcPr>
            <w:tcW w:type="dxa" w:w="2592"/>
            <w:vAlign w:val="center"/>
          </w:tcPr>
          <w:p>
            <w:r>
              <w:t>Watchlist history</w:t>
            </w:r>
          </w:p>
        </w:tc>
        <w:tc>
          <w:tcPr>
            <w:tcW w:type="dxa" w:w="4464"/>
            <w:vAlign w:val="center"/>
          </w:tcPr>
          <w:p>
            <w:r>
              <w:t>watchlist_id, asset_id, added_at, removed_at</w:t>
            </w:r>
          </w:p>
        </w:tc>
      </w:tr>
      <w:tr>
        <w:tc>
          <w:tcPr>
            <w:tcW w:type="dxa" w:w="2304"/>
            <w:vAlign w:val="center"/>
          </w:tcPr>
          <w:p>
            <w:r>
              <w:t>benchmarks</w:t>
            </w:r>
          </w:p>
        </w:tc>
        <w:tc>
          <w:tcPr>
            <w:tcW w:type="dxa" w:w="2592"/>
            <w:vAlign w:val="center"/>
          </w:tcPr>
          <w:p>
            <w:r>
              <w:t>Benchmark definitions</w:t>
            </w:r>
          </w:p>
        </w:tc>
        <w:tc>
          <w:tcPr>
            <w:tcW w:type="dxa" w:w="4464"/>
            <w:vAlign w:val="center"/>
          </w:tcPr>
          <w:p>
            <w:r>
              <w:t>benchmark_id, name, methodology, currency</w:t>
            </w:r>
          </w:p>
        </w:tc>
      </w:tr>
    </w:tbl>
    <w:p/>
    <w:p>
      <w:pPr>
        <w:pStyle w:val="Heading1"/>
      </w:pPr>
      <w:r>
        <w:t>6. Raw and Curated Input Domain</w:t>
      </w:r>
    </w:p>
    <w:p>
      <w:pPr>
        <w:spacing w:after="120" w:line="276" w:lineRule="auto"/>
      </w:pPr>
      <w:r>
        <w:t>Raw inputs should be preserved in immutable form where practical. Curated inputs should normalize schema, resolve timestamps, assign source quality fields, and attach lineage links back to the raw payload archive. This allows later reprocessing without pretending that the original feed was cleaner than it was.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D9EAF7"/>
            <w:vAlign w:val="center"/>
          </w:tcPr>
          <w:p>
            <w:r>
              <w:rPr>
                <w:b/>
              </w:rPr>
              <w:t>Table or store</w:t>
            </w:r>
          </w:p>
        </w:tc>
        <w:tc>
          <w:tcPr>
            <w:tcW w:type="dxa" w:w="2592"/>
            <w:shd w:fill="D9EAF7"/>
            <w:vAlign w:val="center"/>
          </w:tcPr>
          <w:p>
            <w:r>
              <w:rPr>
                <w:b/>
              </w:rPr>
              <w:t>Purpose</w:t>
            </w:r>
          </w:p>
        </w:tc>
        <w:tc>
          <w:tcPr>
            <w:tcW w:type="dxa" w:w="4320"/>
            <w:shd w:fill="D9EAF7"/>
            <w:vAlign w:val="center"/>
          </w:tcPr>
          <w:p>
            <w:r>
              <w:rPr>
                <w:b/>
              </w:rPr>
              <w:t>Key fields</w:t>
            </w:r>
          </w:p>
        </w:tc>
      </w:tr>
      <w:tr>
        <w:tc>
          <w:tcPr>
            <w:tcW w:type="dxa" w:w="2448"/>
            <w:vAlign w:val="center"/>
          </w:tcPr>
          <w:p>
            <w:r>
              <w:t>source_feeds</w:t>
            </w:r>
          </w:p>
        </w:tc>
        <w:tc>
          <w:tcPr>
            <w:tcW w:type="dxa" w:w="2592"/>
            <w:vAlign w:val="center"/>
          </w:tcPr>
          <w:p>
            <w:r>
              <w:t>Catalog of upstream providers and collectors</w:t>
            </w:r>
          </w:p>
        </w:tc>
        <w:tc>
          <w:tcPr>
            <w:tcW w:type="dxa" w:w="4320"/>
            <w:vAlign w:val="center"/>
          </w:tcPr>
          <w:p>
            <w:r>
              <w:t>source_id, source_type, owner, reliability_tier</w:t>
            </w:r>
          </w:p>
        </w:tc>
      </w:tr>
      <w:tr>
        <w:tc>
          <w:tcPr>
            <w:tcW w:type="dxa" w:w="2448"/>
            <w:vAlign w:val="center"/>
          </w:tcPr>
          <w:p>
            <w:r>
              <w:t>raw_payload_manifest</w:t>
            </w:r>
          </w:p>
        </w:tc>
        <w:tc>
          <w:tcPr>
            <w:tcW w:type="dxa" w:w="2592"/>
            <w:vAlign w:val="center"/>
          </w:tcPr>
          <w:p>
            <w:r>
              <w:t>Object-store pointer per raw batch</w:t>
            </w:r>
          </w:p>
        </w:tc>
        <w:tc>
          <w:tcPr>
            <w:tcW w:type="dxa" w:w="4320"/>
            <w:vAlign w:val="center"/>
          </w:tcPr>
          <w:p>
            <w:r>
              <w:t>payload_id, source_id, collected_at, uri, checksum</w:t>
            </w:r>
          </w:p>
        </w:tc>
      </w:tr>
      <w:tr>
        <w:tc>
          <w:tcPr>
            <w:tcW w:type="dxa" w:w="2448"/>
            <w:vAlign w:val="center"/>
          </w:tcPr>
          <w:p>
            <w:r>
              <w:t>market_bars</w:t>
            </w:r>
          </w:p>
        </w:tc>
        <w:tc>
          <w:tcPr>
            <w:tcW w:type="dxa" w:w="2592"/>
            <w:vAlign w:val="center"/>
          </w:tcPr>
          <w:p>
            <w:r>
              <w:t>Curated price/volume bars</w:t>
            </w:r>
          </w:p>
        </w:tc>
        <w:tc>
          <w:tcPr>
            <w:tcW w:type="dxa" w:w="4320"/>
            <w:vAlign w:val="center"/>
          </w:tcPr>
          <w:p>
            <w:r>
              <w:t>asset_id, interval, event_ts, open, high, low, close, volume, source_id</w:t>
            </w:r>
          </w:p>
        </w:tc>
      </w:tr>
      <w:tr>
        <w:tc>
          <w:tcPr>
            <w:tcW w:type="dxa" w:w="2448"/>
            <w:vAlign w:val="center"/>
          </w:tcPr>
          <w:p>
            <w:r>
              <w:t>news_events</w:t>
            </w:r>
          </w:p>
        </w:tc>
        <w:tc>
          <w:tcPr>
            <w:tcW w:type="dxa" w:w="2592"/>
            <w:vAlign w:val="center"/>
          </w:tcPr>
          <w:p>
            <w:r>
              <w:t>Normalized articles and metadata</w:t>
            </w:r>
          </w:p>
        </w:tc>
        <w:tc>
          <w:tcPr>
            <w:tcW w:type="dxa" w:w="4320"/>
            <w:vAlign w:val="center"/>
          </w:tcPr>
          <w:p>
            <w:r>
              <w:t>news_id, source_id, published_ts, title, language, uri</w:t>
            </w:r>
          </w:p>
        </w:tc>
      </w:tr>
      <w:tr>
        <w:tc>
          <w:tcPr>
            <w:tcW w:type="dxa" w:w="2448"/>
            <w:vAlign w:val="center"/>
          </w:tcPr>
          <w:p>
            <w:r>
              <w:t>news_asset_links</w:t>
            </w:r>
          </w:p>
        </w:tc>
        <w:tc>
          <w:tcPr>
            <w:tcW w:type="dxa" w:w="2592"/>
            <w:vAlign w:val="center"/>
          </w:tcPr>
          <w:p>
            <w:r>
              <w:t>Links between articles and assets</w:t>
            </w:r>
          </w:p>
        </w:tc>
        <w:tc>
          <w:tcPr>
            <w:tcW w:type="dxa" w:w="4320"/>
            <w:vAlign w:val="center"/>
          </w:tcPr>
          <w:p>
            <w:r>
              <w:t>news_id, asset_id, link_strength, method</w:t>
            </w:r>
          </w:p>
        </w:tc>
      </w:tr>
      <w:tr>
        <w:tc>
          <w:tcPr>
            <w:tcW w:type="dxa" w:w="2448"/>
            <w:vAlign w:val="center"/>
          </w:tcPr>
          <w:p>
            <w:r>
              <w:t>social_events</w:t>
            </w:r>
          </w:p>
        </w:tc>
        <w:tc>
          <w:tcPr>
            <w:tcW w:type="dxa" w:w="2592"/>
            <w:vAlign w:val="center"/>
          </w:tcPr>
          <w:p>
            <w:r>
              <w:t>Posts and aggregates</w:t>
            </w:r>
          </w:p>
        </w:tc>
        <w:tc>
          <w:tcPr>
            <w:tcW w:type="dxa" w:w="4320"/>
            <w:vAlign w:val="center"/>
          </w:tcPr>
          <w:p>
            <w:r>
              <w:t>social_id, source_id, published_ts, channel, author_hash, content_ref</w:t>
            </w:r>
          </w:p>
        </w:tc>
      </w:tr>
      <w:tr>
        <w:tc>
          <w:tcPr>
            <w:tcW w:type="dxa" w:w="2448"/>
            <w:vAlign w:val="center"/>
          </w:tcPr>
          <w:p>
            <w:r>
              <w:t>macro_events</w:t>
            </w:r>
          </w:p>
        </w:tc>
        <w:tc>
          <w:tcPr>
            <w:tcW w:type="dxa" w:w="2592"/>
            <w:vAlign w:val="center"/>
          </w:tcPr>
          <w:p>
            <w:r>
              <w:t>Macro releases and indicators</w:t>
            </w:r>
          </w:p>
        </w:tc>
        <w:tc>
          <w:tcPr>
            <w:tcW w:type="dxa" w:w="4320"/>
            <w:vAlign w:val="center"/>
          </w:tcPr>
          <w:p>
            <w:r>
              <w:t>macro_id, series_key, event_ts, value, surprise, revision_flag</w:t>
            </w:r>
          </w:p>
        </w:tc>
      </w:tr>
      <w:tr>
        <w:tc>
          <w:tcPr>
            <w:tcW w:type="dxa" w:w="2448"/>
            <w:vAlign w:val="center"/>
          </w:tcPr>
          <w:p>
            <w:r>
              <w:t>portfolio_snapshots</w:t>
            </w:r>
          </w:p>
        </w:tc>
        <w:tc>
          <w:tcPr>
            <w:tcW w:type="dxa" w:w="2592"/>
            <w:vAlign w:val="center"/>
          </w:tcPr>
          <w:p>
            <w:r>
              <w:t>Observed actual portfolio state or user reference portfolio</w:t>
            </w:r>
          </w:p>
        </w:tc>
        <w:tc>
          <w:tcPr>
            <w:tcW w:type="dxa" w:w="4320"/>
            <w:vAlign w:val="center"/>
          </w:tcPr>
          <w:p>
            <w:r>
              <w:t>portfolio_snapshot_id, observed_at, holdings_json_ref</w:t>
            </w:r>
          </w:p>
        </w:tc>
      </w:tr>
    </w:tbl>
    <w:p/>
    <w:p>
      <w:pPr>
        <w:pStyle w:val="Heading1"/>
      </w:pPr>
      <w:r>
        <w:t>7. Feature Registry Domain</w:t>
      </w:r>
    </w:p>
    <w:p>
      <w:pPr>
        <w:spacing w:after="120" w:line="276" w:lineRule="auto"/>
      </w:pPr>
      <w:r>
        <w:t>Feature generation should be treated as a governed data product. A feature set is not merely a temporary array in memory. It is a named, versioned, time-bounded object with completeness, lineage, and schema definition so that downstream signals and validation can refer to it reliably.</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Table</w:t>
            </w:r>
          </w:p>
        </w:tc>
        <w:tc>
          <w:tcPr>
            <w:tcW w:type="dxa" w:w="2448"/>
            <w:shd w:fill="D9EAF7"/>
            <w:vAlign w:val="center"/>
          </w:tcPr>
          <w:p>
            <w:r>
              <w:rPr>
                <w:b/>
              </w:rPr>
              <w:t>Purpose</w:t>
            </w:r>
          </w:p>
        </w:tc>
        <w:tc>
          <w:tcPr>
            <w:tcW w:type="dxa" w:w="4608"/>
            <w:shd w:fill="D9EAF7"/>
            <w:vAlign w:val="center"/>
          </w:tcPr>
          <w:p>
            <w:r>
              <w:rPr>
                <w:b/>
              </w:rPr>
              <w:t>Key columns</w:t>
            </w:r>
          </w:p>
        </w:tc>
      </w:tr>
      <w:tr>
        <w:tc>
          <w:tcPr>
            <w:tcW w:type="dxa" w:w="2304"/>
            <w:vAlign w:val="center"/>
          </w:tcPr>
          <w:p>
            <w:r>
              <w:t>feature_recipes</w:t>
            </w:r>
          </w:p>
        </w:tc>
        <w:tc>
          <w:tcPr>
            <w:tcW w:type="dxa" w:w="2448"/>
            <w:vAlign w:val="center"/>
          </w:tcPr>
          <w:p>
            <w:r>
              <w:t>Named feature definitions</w:t>
            </w:r>
          </w:p>
        </w:tc>
        <w:tc>
          <w:tcPr>
            <w:tcW w:type="dxa" w:w="4608"/>
            <w:vAlign w:val="center"/>
          </w:tcPr>
          <w:p>
            <w:r>
              <w:t>feature_recipe_id, name, version, owner, description</w:t>
            </w:r>
          </w:p>
        </w:tc>
      </w:tr>
      <w:tr>
        <w:tc>
          <w:tcPr>
            <w:tcW w:type="dxa" w:w="2304"/>
            <w:vAlign w:val="center"/>
          </w:tcPr>
          <w:p>
            <w:r>
              <w:t>feature_sets</w:t>
            </w:r>
          </w:p>
        </w:tc>
        <w:tc>
          <w:tcPr>
            <w:tcW w:type="dxa" w:w="2448"/>
            <w:vAlign w:val="center"/>
          </w:tcPr>
          <w:p>
            <w:r>
              <w:t>Materialized feature collection for a run window</w:t>
            </w:r>
          </w:p>
        </w:tc>
        <w:tc>
          <w:tcPr>
            <w:tcW w:type="dxa" w:w="4608"/>
            <w:vAlign w:val="center"/>
          </w:tcPr>
          <w:p>
            <w:r>
              <w:t>feature_set_id, universe_id, effective_ts, status, completeness_score</w:t>
            </w:r>
          </w:p>
        </w:tc>
      </w:tr>
      <w:tr>
        <w:tc>
          <w:tcPr>
            <w:tcW w:type="dxa" w:w="2304"/>
            <w:vAlign w:val="center"/>
          </w:tcPr>
          <w:p>
            <w:r>
              <w:t>feature_values</w:t>
            </w:r>
          </w:p>
        </w:tc>
        <w:tc>
          <w:tcPr>
            <w:tcW w:type="dxa" w:w="2448"/>
            <w:vAlign w:val="center"/>
          </w:tcPr>
          <w:p>
            <w:r>
              <w:t>Atomic feature values by asset</w:t>
            </w:r>
          </w:p>
        </w:tc>
        <w:tc>
          <w:tcPr>
            <w:tcW w:type="dxa" w:w="4608"/>
            <w:vAlign w:val="center"/>
          </w:tcPr>
          <w:p>
            <w:r>
              <w:t>feature_set_id, asset_id, feature_key, value_num, value_text, freshness_age_sec</w:t>
            </w:r>
          </w:p>
        </w:tc>
      </w:tr>
      <w:tr>
        <w:tc>
          <w:tcPr>
            <w:tcW w:type="dxa" w:w="2304"/>
            <w:vAlign w:val="center"/>
          </w:tcPr>
          <w:p>
            <w:r>
              <w:t>feature_lineage</w:t>
            </w:r>
          </w:p>
        </w:tc>
        <w:tc>
          <w:tcPr>
            <w:tcW w:type="dxa" w:w="2448"/>
            <w:vAlign w:val="center"/>
          </w:tcPr>
          <w:p>
            <w:r>
              <w:t>Links from feature sets to source batches</w:t>
            </w:r>
          </w:p>
        </w:tc>
        <w:tc>
          <w:tcPr>
            <w:tcW w:type="dxa" w:w="4608"/>
            <w:vAlign w:val="center"/>
          </w:tcPr>
          <w:p>
            <w:r>
              <w:t>feature_set_id, payload_id, transformation_step</w:t>
            </w:r>
          </w:p>
        </w:tc>
      </w:tr>
      <w:tr>
        <w:tc>
          <w:tcPr>
            <w:tcW w:type="dxa" w:w="2304"/>
            <w:vAlign w:val="center"/>
          </w:tcPr>
          <w:p>
            <w:r>
              <w:t>feature_anomalies</w:t>
            </w:r>
          </w:p>
        </w:tc>
        <w:tc>
          <w:tcPr>
            <w:tcW w:type="dxa" w:w="2448"/>
            <w:vAlign w:val="center"/>
          </w:tcPr>
          <w:p>
            <w:r>
              <w:t>Missing, outlier, or alignment issues</w:t>
            </w:r>
          </w:p>
        </w:tc>
        <w:tc>
          <w:tcPr>
            <w:tcW w:type="dxa" w:w="4608"/>
            <w:vAlign w:val="center"/>
          </w:tcPr>
          <w:p>
            <w:r>
              <w:t>anomaly_id, feature_set_id, severity, rule_key, message</w:t>
            </w:r>
          </w:p>
        </w:tc>
      </w:tr>
    </w:tbl>
    <w:p/>
    <w:p>
      <w:pPr>
        <w:pStyle w:val="Heading1"/>
      </w:pPr>
      <w:r>
        <w:t>8. Signal and Engine Output Domain</w:t>
      </w:r>
    </w:p>
    <w:p>
      <w:pPr>
        <w:spacing w:after="120" w:line="276" w:lineRule="auto"/>
      </w:pPr>
      <w:r>
        <w:t>Signal outputs should preserve engine individuality without breaking downstream comparability. Each engine may have specialized fields, but every signal run must also conform to a common minimum contract.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Table</w:t>
            </w:r>
          </w:p>
        </w:tc>
        <w:tc>
          <w:tcPr>
            <w:tcW w:type="dxa" w:w="2592"/>
            <w:shd w:fill="D9EAF7"/>
            <w:vAlign w:val="center"/>
          </w:tcPr>
          <w:p>
            <w:r>
              <w:rPr>
                <w:b/>
              </w:rPr>
              <w:t>Purpose</w:t>
            </w:r>
          </w:p>
        </w:tc>
        <w:tc>
          <w:tcPr>
            <w:tcW w:type="dxa" w:w="4320"/>
            <w:shd w:fill="D9EAF7"/>
            <w:vAlign w:val="center"/>
          </w:tcPr>
          <w:p>
            <w:r>
              <w:rPr>
                <w:b/>
              </w:rPr>
              <w:t>Common contract fields</w:t>
            </w:r>
          </w:p>
        </w:tc>
      </w:tr>
      <w:tr>
        <w:tc>
          <w:tcPr>
            <w:tcW w:type="dxa" w:w="2592"/>
            <w:vAlign w:val="center"/>
          </w:tcPr>
          <w:p>
            <w:r>
              <w:t>signal_runs</w:t>
            </w:r>
          </w:p>
        </w:tc>
        <w:tc>
          <w:tcPr>
            <w:tcW w:type="dxa" w:w="2592"/>
            <w:vAlign w:val="center"/>
          </w:tcPr>
          <w:p>
            <w:r>
              <w:t>Run header per engine and context</w:t>
            </w:r>
          </w:p>
        </w:tc>
        <w:tc>
          <w:tcPr>
            <w:tcW w:type="dxa" w:w="4320"/>
            <w:vAlign w:val="center"/>
          </w:tcPr>
          <w:p>
            <w:r>
              <w:t>signal_run_id, engine_id, feature_set_id, run_ts, confidence, status</w:t>
            </w:r>
          </w:p>
        </w:tc>
      </w:tr>
      <w:tr>
        <w:tc>
          <w:tcPr>
            <w:tcW w:type="dxa" w:w="2592"/>
            <w:vAlign w:val="center"/>
          </w:tcPr>
          <w:p>
            <w:r>
              <w:t>signal_asset_outputs</w:t>
            </w:r>
          </w:p>
        </w:tc>
        <w:tc>
          <w:tcPr>
            <w:tcW w:type="dxa" w:w="2592"/>
            <w:vAlign w:val="center"/>
          </w:tcPr>
          <w:p>
            <w:r>
              <w:t>Per-asset score or classification</w:t>
            </w:r>
          </w:p>
        </w:tc>
        <w:tc>
          <w:tcPr>
            <w:tcW w:type="dxa" w:w="4320"/>
            <w:vAlign w:val="center"/>
          </w:tcPr>
          <w:p>
            <w:r>
              <w:t>signal_run_id, asset_id, score, direction, confidence, warning_flags</w:t>
            </w:r>
          </w:p>
        </w:tc>
      </w:tr>
      <w:tr>
        <w:tc>
          <w:tcPr>
            <w:tcW w:type="dxa" w:w="2592"/>
            <w:vAlign w:val="center"/>
          </w:tcPr>
          <w:p>
            <w:r>
              <w:t>signal_rationales</w:t>
            </w:r>
          </w:p>
        </w:tc>
        <w:tc>
          <w:tcPr>
            <w:tcW w:type="dxa" w:w="2592"/>
            <w:vAlign w:val="center"/>
          </w:tcPr>
          <w:p>
            <w:r>
              <w:t>Short explanation fragments</w:t>
            </w:r>
          </w:p>
        </w:tc>
        <w:tc>
          <w:tcPr>
            <w:tcW w:type="dxa" w:w="4320"/>
            <w:vAlign w:val="center"/>
          </w:tcPr>
          <w:p>
            <w:r>
              <w:t>signal_run_id, asset_id, rationale_summary, evidence_refs</w:t>
            </w:r>
          </w:p>
        </w:tc>
      </w:tr>
      <w:tr>
        <w:tc>
          <w:tcPr>
            <w:tcW w:type="dxa" w:w="2592"/>
            <w:vAlign w:val="center"/>
          </w:tcPr>
          <w:p>
            <w:r>
              <w:t>signal_artifacts</w:t>
            </w:r>
          </w:p>
        </w:tc>
        <w:tc>
          <w:tcPr>
            <w:tcW w:type="dxa" w:w="2592"/>
            <w:vAlign w:val="center"/>
          </w:tcPr>
          <w:p>
            <w:r>
              <w:t>Pointers to model or explainability artifacts</w:t>
            </w:r>
          </w:p>
        </w:tc>
        <w:tc>
          <w:tcPr>
            <w:tcW w:type="dxa" w:w="4320"/>
            <w:vAlign w:val="center"/>
          </w:tcPr>
          <w:p>
            <w:r>
              <w:t>signal_run_id, artifact_type, uri, checksum</w:t>
            </w:r>
          </w:p>
        </w:tc>
      </w:tr>
      <w:tr>
        <w:tc>
          <w:tcPr>
            <w:tcW w:type="dxa" w:w="2592"/>
            <w:vAlign w:val="center"/>
          </w:tcPr>
          <w:p>
            <w:r>
              <w:t>engine_versions</w:t>
            </w:r>
          </w:p>
        </w:tc>
        <w:tc>
          <w:tcPr>
            <w:tcW w:type="dxa" w:w="2592"/>
            <w:vAlign w:val="center"/>
          </w:tcPr>
          <w:p>
            <w:r>
              <w:t>Versioned engine registry</w:t>
            </w:r>
          </w:p>
        </w:tc>
        <w:tc>
          <w:tcPr>
            <w:tcW w:type="dxa" w:w="4320"/>
            <w:vAlign w:val="center"/>
          </w:tcPr>
          <w:p>
            <w:r>
              <w:t>engine_id, version, engine_family, promoted_at, status</w:t>
            </w:r>
          </w:p>
        </w:tc>
      </w:tr>
    </w:tbl>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Minimum contract: </w:t>
            </w:r>
            <w:r>
              <w:t>Every signal run should be linkable to the feature_set_id, engine_version, effective time, confidence, warnings, and rationale fragments that explain the result.</w:t>
            </w:r>
          </w:p>
        </w:tc>
      </w:tr>
    </w:tbl>
    <w:p/>
    <w:p>
      <w:pPr>
        <w:pStyle w:val="Heading1"/>
      </w:pPr>
      <w:r>
        <w:t>9. Decision Pipeline Domain</w:t>
      </w:r>
    </w:p>
    <w:p>
      <w:pPr>
        <w:spacing w:after="120" w:line="276" w:lineRule="auto"/>
      </w:pPr>
      <w:r>
        <w:t>The decision pipeline is the schema heart of QuantPipeline. Selection, allocation, timing, and risk overlay each get their own records and their own change explanations. This allows the system to answer what changed, where it changed, and why the final portfolio differs from the pre-risk proposal.</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Table</w:t>
            </w:r>
          </w:p>
        </w:tc>
        <w:tc>
          <w:tcPr>
            <w:tcW w:type="dxa" w:w="2592"/>
            <w:shd w:fill="D9EAF7"/>
            <w:vAlign w:val="center"/>
          </w:tcPr>
          <w:p>
            <w:r>
              <w:rPr>
                <w:b/>
              </w:rPr>
              <w:t>Purpose</w:t>
            </w:r>
          </w:p>
        </w:tc>
        <w:tc>
          <w:tcPr>
            <w:tcW w:type="dxa" w:w="4320"/>
            <w:shd w:fill="D9EAF7"/>
            <w:vAlign w:val="center"/>
          </w:tcPr>
          <w:p>
            <w:r>
              <w:rPr>
                <w:b/>
              </w:rPr>
              <w:t>Key columns</w:t>
            </w:r>
          </w:p>
        </w:tc>
      </w:tr>
      <w:tr>
        <w:tc>
          <w:tcPr>
            <w:tcW w:type="dxa" w:w="2592"/>
            <w:vAlign w:val="center"/>
          </w:tcPr>
          <w:p>
            <w:r>
              <w:t>selection_runs</w:t>
            </w:r>
          </w:p>
        </w:tc>
        <w:tc>
          <w:tcPr>
            <w:tcW w:type="dxa" w:w="2592"/>
            <w:vAlign w:val="center"/>
          </w:tcPr>
          <w:p>
            <w:r>
              <w:t>Universe filtering and ranking result</w:t>
            </w:r>
          </w:p>
        </w:tc>
        <w:tc>
          <w:tcPr>
            <w:tcW w:type="dxa" w:w="4320"/>
            <w:vAlign w:val="center"/>
          </w:tcPr>
          <w:p>
            <w:r>
              <w:t>selection_run_id, universe_id, policy_version_id, candidate_count, shortlist_count</w:t>
            </w:r>
          </w:p>
        </w:tc>
      </w:tr>
      <w:tr>
        <w:tc>
          <w:tcPr>
            <w:tcW w:type="dxa" w:w="2592"/>
            <w:vAlign w:val="center"/>
          </w:tcPr>
          <w:p>
            <w:r>
              <w:t>selection_members</w:t>
            </w:r>
          </w:p>
        </w:tc>
        <w:tc>
          <w:tcPr>
            <w:tcW w:type="dxa" w:w="2592"/>
            <w:vAlign w:val="center"/>
          </w:tcPr>
          <w:p>
            <w:r>
              <w:t>Ranked shortlist members</w:t>
            </w:r>
          </w:p>
        </w:tc>
        <w:tc>
          <w:tcPr>
            <w:tcW w:type="dxa" w:w="4320"/>
            <w:vAlign w:val="center"/>
          </w:tcPr>
          <w:p>
            <w:r>
              <w:t>selection_run_id, asset_id, rank, inclusion_reason, exclusion_reason</w:t>
            </w:r>
          </w:p>
        </w:tc>
      </w:tr>
      <w:tr>
        <w:tc>
          <w:tcPr>
            <w:tcW w:type="dxa" w:w="2592"/>
            <w:vAlign w:val="center"/>
          </w:tcPr>
          <w:p>
            <w:r>
              <w:t>allocation_runs</w:t>
            </w:r>
          </w:p>
        </w:tc>
        <w:tc>
          <w:tcPr>
            <w:tcW w:type="dxa" w:w="2592"/>
            <w:vAlign w:val="center"/>
          </w:tcPr>
          <w:p>
            <w:r>
              <w:t>Pre-risk target allocation</w:t>
            </w:r>
          </w:p>
        </w:tc>
        <w:tc>
          <w:tcPr>
            <w:tcW w:type="dxa" w:w="4320"/>
            <w:vAlign w:val="center"/>
          </w:tcPr>
          <w:p>
            <w:r>
              <w:t>allocation_run_id, selection_run_id, allocator_version_id, gross_exposure</w:t>
            </w:r>
          </w:p>
        </w:tc>
      </w:tr>
      <w:tr>
        <w:tc>
          <w:tcPr>
            <w:tcW w:type="dxa" w:w="2592"/>
            <w:vAlign w:val="center"/>
          </w:tcPr>
          <w:p>
            <w:r>
              <w:t>allocation_weights</w:t>
            </w:r>
          </w:p>
        </w:tc>
        <w:tc>
          <w:tcPr>
            <w:tcW w:type="dxa" w:w="2592"/>
            <w:vAlign w:val="center"/>
          </w:tcPr>
          <w:p>
            <w:r>
              <w:t>Per-asset proposed weights</w:t>
            </w:r>
          </w:p>
        </w:tc>
        <w:tc>
          <w:tcPr>
            <w:tcW w:type="dxa" w:w="4320"/>
            <w:vAlign w:val="center"/>
          </w:tcPr>
          <w:p>
            <w:r>
              <w:t>allocation_run_id, asset_id, target_weight, capital_bucket</w:t>
            </w:r>
          </w:p>
        </w:tc>
      </w:tr>
      <w:tr>
        <w:tc>
          <w:tcPr>
            <w:tcW w:type="dxa" w:w="2592"/>
            <w:vAlign w:val="center"/>
          </w:tcPr>
          <w:p>
            <w:r>
              <w:t>timing_runs</w:t>
            </w:r>
          </w:p>
        </w:tc>
        <w:tc>
          <w:tcPr>
            <w:tcW w:type="dxa" w:w="2592"/>
            <w:vAlign w:val="center"/>
          </w:tcPr>
          <w:p>
            <w:r>
              <w:t>Timing controller output</w:t>
            </w:r>
          </w:p>
        </w:tc>
        <w:tc>
          <w:tcPr>
            <w:tcW w:type="dxa" w:w="4320"/>
            <w:vAlign w:val="center"/>
          </w:tcPr>
          <w:p>
            <w:r>
              <w:t>timing_run_id, allocation_run_id, timing_policy_version_id, posture, aggressiveness_factor</w:t>
            </w:r>
          </w:p>
        </w:tc>
      </w:tr>
      <w:tr>
        <w:tc>
          <w:tcPr>
            <w:tcW w:type="dxa" w:w="2592"/>
            <w:vAlign w:val="center"/>
          </w:tcPr>
          <w:p>
            <w:r>
              <w:t>timing_adjustments</w:t>
            </w:r>
          </w:p>
        </w:tc>
        <w:tc>
          <w:tcPr>
            <w:tcW w:type="dxa" w:w="2592"/>
            <w:vAlign w:val="center"/>
          </w:tcPr>
          <w:p>
            <w:r>
              <w:t>Per-asset or portfolio timing changes</w:t>
            </w:r>
          </w:p>
        </w:tc>
        <w:tc>
          <w:tcPr>
            <w:tcW w:type="dxa" w:w="4320"/>
            <w:vAlign w:val="center"/>
          </w:tcPr>
          <w:p>
            <w:r>
              <w:t>timing_run_id, asset_id, delta_weight, rule_trigger</w:t>
            </w:r>
          </w:p>
        </w:tc>
      </w:tr>
      <w:tr>
        <w:tc>
          <w:tcPr>
            <w:tcW w:type="dxa" w:w="2592"/>
            <w:vAlign w:val="center"/>
          </w:tcPr>
          <w:p>
            <w:r>
              <w:t>risk_overlay_runs</w:t>
            </w:r>
          </w:p>
        </w:tc>
        <w:tc>
          <w:tcPr>
            <w:tcW w:type="dxa" w:w="2592"/>
            <w:vAlign w:val="center"/>
          </w:tcPr>
          <w:p>
            <w:r>
              <w:t>Portfolio-level risk pass</w:t>
            </w:r>
          </w:p>
        </w:tc>
        <w:tc>
          <w:tcPr>
            <w:tcW w:type="dxa" w:w="4320"/>
            <w:vAlign w:val="center"/>
          </w:tcPr>
          <w:p>
            <w:r>
              <w:t>risk_run_id, timing_run_id, risk_policy_version_id, status</w:t>
            </w:r>
          </w:p>
        </w:tc>
      </w:tr>
      <w:tr>
        <w:tc>
          <w:tcPr>
            <w:tcW w:type="dxa" w:w="2592"/>
            <w:vAlign w:val="center"/>
          </w:tcPr>
          <w:p>
            <w:r>
              <w:t>risk_adjustments</w:t>
            </w:r>
          </w:p>
        </w:tc>
        <w:tc>
          <w:tcPr>
            <w:tcW w:type="dxa" w:w="2592"/>
            <w:vAlign w:val="center"/>
          </w:tcPr>
          <w:p>
            <w:r>
              <w:t>Exposure trims, caps, suppressions</w:t>
            </w:r>
          </w:p>
        </w:tc>
        <w:tc>
          <w:tcPr>
            <w:tcW w:type="dxa" w:w="4320"/>
            <w:vAlign w:val="center"/>
          </w:tcPr>
          <w:p>
            <w:r>
              <w:t>risk_run_id, asset_id, before_weight, after_weight, reason</w:t>
            </w:r>
          </w:p>
        </w:tc>
      </w:tr>
    </w:tbl>
    <w:p/>
    <w:p>
      <w:pPr>
        <w:pStyle w:val="Heading1"/>
      </w:pPr>
      <w:r>
        <w:t>10. Recommendation and Publication Domain</w:t>
      </w:r>
    </w:p>
    <w:p>
      <w:pPr>
        <w:spacing w:after="120" w:line="276" w:lineRule="auto"/>
      </w:pPr>
      <w:r>
        <w:t>Recommendation records are not only stage outputs. They are a user-facing contract. A recommendation record should capture the published portfolio, its explanation summary, status, freshness, confidence decomposition, and links to every contributing stage object.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D9EAF7"/>
            <w:vAlign w:val="center"/>
          </w:tcPr>
          <w:p>
            <w:r>
              <w:rPr>
                <w:b/>
              </w:rPr>
              <w:t>Table</w:t>
            </w:r>
          </w:p>
        </w:tc>
        <w:tc>
          <w:tcPr>
            <w:tcW w:type="dxa" w:w="2592"/>
            <w:shd w:fill="D9EAF7"/>
            <w:vAlign w:val="center"/>
          </w:tcPr>
          <w:p>
            <w:r>
              <w:rPr>
                <w:b/>
              </w:rPr>
              <w:t>Purpose</w:t>
            </w:r>
          </w:p>
        </w:tc>
        <w:tc>
          <w:tcPr>
            <w:tcW w:type="dxa" w:w="4464"/>
            <w:shd w:fill="D9EAF7"/>
            <w:vAlign w:val="center"/>
          </w:tcPr>
          <w:p>
            <w:r>
              <w:rPr>
                <w:b/>
              </w:rPr>
              <w:t>Key columns</w:t>
            </w:r>
          </w:p>
        </w:tc>
      </w:tr>
      <w:tr>
        <w:tc>
          <w:tcPr>
            <w:tcW w:type="dxa" w:w="2448"/>
            <w:vAlign w:val="center"/>
          </w:tcPr>
          <w:p>
            <w:r>
              <w:t>recommendation_runs</w:t>
            </w:r>
          </w:p>
        </w:tc>
        <w:tc>
          <w:tcPr>
            <w:tcW w:type="dxa" w:w="2592"/>
            <w:vAlign w:val="center"/>
          </w:tcPr>
          <w:p>
            <w:r>
              <w:t>Canonical final proposal per context</w:t>
            </w:r>
          </w:p>
        </w:tc>
        <w:tc>
          <w:tcPr>
            <w:tcW w:type="dxa" w:w="4464"/>
            <w:vAlign w:val="center"/>
          </w:tcPr>
          <w:p>
            <w:r>
              <w:t>recommendation_id, risk_run_id, current_status, overall_confidence, horizon</w:t>
            </w:r>
          </w:p>
        </w:tc>
      </w:tr>
      <w:tr>
        <w:tc>
          <w:tcPr>
            <w:tcW w:type="dxa" w:w="2448"/>
            <w:vAlign w:val="center"/>
          </w:tcPr>
          <w:p>
            <w:r>
              <w:t>recommendation_weights</w:t>
            </w:r>
          </w:p>
        </w:tc>
        <w:tc>
          <w:tcPr>
            <w:tcW w:type="dxa" w:w="2592"/>
            <w:vAlign w:val="center"/>
          </w:tcPr>
          <w:p>
            <w:r>
              <w:t>Published or proposed target weights</w:t>
            </w:r>
          </w:p>
        </w:tc>
        <w:tc>
          <w:tcPr>
            <w:tcW w:type="dxa" w:w="4464"/>
            <w:vAlign w:val="center"/>
          </w:tcPr>
          <w:p>
            <w:r>
              <w:t>recommendation_id, asset_id, target_weight, rationale_snippet</w:t>
            </w:r>
          </w:p>
        </w:tc>
      </w:tr>
      <w:tr>
        <w:tc>
          <w:tcPr>
            <w:tcW w:type="dxa" w:w="2448"/>
            <w:vAlign w:val="center"/>
          </w:tcPr>
          <w:p>
            <w:r>
              <w:t>recommendation_diffs</w:t>
            </w:r>
          </w:p>
        </w:tc>
        <w:tc>
          <w:tcPr>
            <w:tcW w:type="dxa" w:w="2592"/>
            <w:vAlign w:val="center"/>
          </w:tcPr>
          <w:p>
            <w:r>
              <w:t>Change against previous recommendation</w:t>
            </w:r>
          </w:p>
        </w:tc>
        <w:tc>
          <w:tcPr>
            <w:tcW w:type="dxa" w:w="4464"/>
            <w:vAlign w:val="center"/>
          </w:tcPr>
          <w:p>
            <w:r>
              <w:t>recommendation_id, previous_recommendation_id, material_change_flag, summary</w:t>
            </w:r>
          </w:p>
        </w:tc>
      </w:tr>
      <w:tr>
        <w:tc>
          <w:tcPr>
            <w:tcW w:type="dxa" w:w="2448"/>
            <w:vAlign w:val="center"/>
          </w:tcPr>
          <w:p>
            <w:r>
              <w:t>publication_records</w:t>
            </w:r>
          </w:p>
        </w:tc>
        <w:tc>
          <w:tcPr>
            <w:tcW w:type="dxa" w:w="2592"/>
            <w:vAlign w:val="center"/>
          </w:tcPr>
          <w:p>
            <w:r>
              <w:t>Published, suppressed, or staged states</w:t>
            </w:r>
          </w:p>
        </w:tc>
        <w:tc>
          <w:tcPr>
            <w:tcW w:type="dxa" w:w="4464"/>
            <w:vAlign w:val="center"/>
          </w:tcPr>
          <w:p>
            <w:r>
              <w:t>publication_id, recommendation_id, publication_state, published_at, approver_id</w:t>
            </w:r>
          </w:p>
        </w:tc>
      </w:tr>
      <w:tr>
        <w:tc>
          <w:tcPr>
            <w:tcW w:type="dxa" w:w="2448"/>
            <w:vAlign w:val="center"/>
          </w:tcPr>
          <w:p>
            <w:r>
              <w:t>publication_reasons</w:t>
            </w:r>
          </w:p>
        </w:tc>
        <w:tc>
          <w:tcPr>
            <w:tcW w:type="dxa" w:w="2592"/>
            <w:vAlign w:val="center"/>
          </w:tcPr>
          <w:p>
            <w:r>
              <w:t>Reason codes for non-normal publication</w:t>
            </w:r>
          </w:p>
        </w:tc>
        <w:tc>
          <w:tcPr>
            <w:tcW w:type="dxa" w:w="4464"/>
            <w:vAlign w:val="center"/>
          </w:tcPr>
          <w:p>
            <w:r>
              <w:t>publication_id, reason_type, reason_code, message</w:t>
            </w:r>
          </w:p>
        </w:tc>
      </w:tr>
      <w:tr>
        <w:tc>
          <w:tcPr>
            <w:tcW w:type="dxa" w:w="2448"/>
            <w:vAlign w:val="center"/>
          </w:tcPr>
          <w:p>
            <w:r>
              <w:t>current_recommendation_view</w:t>
            </w:r>
          </w:p>
        </w:tc>
        <w:tc>
          <w:tcPr>
            <w:tcW w:type="dxa" w:w="2592"/>
            <w:vAlign w:val="center"/>
          </w:tcPr>
          <w:p>
            <w:r>
              <w:t>Read model for fast dashboard access</w:t>
            </w:r>
          </w:p>
        </w:tc>
        <w:tc>
          <w:tcPr>
            <w:tcW w:type="dxa" w:w="4464"/>
            <w:vAlign w:val="center"/>
          </w:tcPr>
          <w:p>
            <w:r>
              <w:t>context_key, recommendation_id, freshness_age_sec, health_state</w:t>
            </w:r>
          </w:p>
        </w:tc>
      </w:tr>
    </w:tbl>
    <w:p/>
    <w:p>
      <w:pPr>
        <w:pStyle w:val="Heading1"/>
      </w:pPr>
      <w:r>
        <w:t>11. Validation, Backtest, Paper, and Replay Domain</w:t>
      </w:r>
    </w:p>
    <w:p>
      <w:pPr>
        <w:spacing w:after="120" w:line="276" w:lineRule="auto"/>
      </w:pPr>
      <w:r>
        <w:t>Historical evaluation objects must be isolated from live publication while still using the same canonical contract shapes. The schema should allow experiments to reference frozen inputs, policy packages, and result artifacts without polluting production recommendation history.</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D9EAF7"/>
            <w:vAlign w:val="center"/>
          </w:tcPr>
          <w:p>
            <w:r>
              <w:rPr>
                <w:b/>
              </w:rPr>
              <w:t>Table</w:t>
            </w:r>
          </w:p>
        </w:tc>
        <w:tc>
          <w:tcPr>
            <w:tcW w:type="dxa" w:w="2736"/>
            <w:shd w:fill="D9EAF7"/>
            <w:vAlign w:val="center"/>
          </w:tcPr>
          <w:p>
            <w:r>
              <w:rPr>
                <w:b/>
              </w:rPr>
              <w:t>Purpose</w:t>
            </w:r>
          </w:p>
        </w:tc>
        <w:tc>
          <w:tcPr>
            <w:tcW w:type="dxa" w:w="4320"/>
            <w:shd w:fill="D9EAF7"/>
            <w:vAlign w:val="center"/>
          </w:tcPr>
          <w:p>
            <w:r>
              <w:rPr>
                <w:b/>
              </w:rPr>
              <w:t>Key columns</w:t>
            </w:r>
          </w:p>
        </w:tc>
      </w:tr>
      <w:tr>
        <w:tc>
          <w:tcPr>
            <w:tcW w:type="dxa" w:w="2448"/>
            <w:vAlign w:val="center"/>
          </w:tcPr>
          <w:p>
            <w:r>
              <w:t>experiment_runs</w:t>
            </w:r>
          </w:p>
        </w:tc>
        <w:tc>
          <w:tcPr>
            <w:tcW w:type="dxa" w:w="2736"/>
            <w:vAlign w:val="center"/>
          </w:tcPr>
          <w:p>
            <w:r>
              <w:t>Validation run header</w:t>
            </w:r>
          </w:p>
        </w:tc>
        <w:tc>
          <w:tcPr>
            <w:tcW w:type="dxa" w:w="4320"/>
            <w:vAlign w:val="center"/>
          </w:tcPr>
          <w:p>
            <w:r>
              <w:t>experiment_id, methodology_version, policy_bundle_id, frozen_snapshot_id, status</w:t>
            </w:r>
          </w:p>
        </w:tc>
      </w:tr>
      <w:tr>
        <w:tc>
          <w:tcPr>
            <w:tcW w:type="dxa" w:w="2448"/>
            <w:vAlign w:val="center"/>
          </w:tcPr>
          <w:p>
            <w:r>
              <w:t>backtest_results</w:t>
            </w:r>
          </w:p>
        </w:tc>
        <w:tc>
          <w:tcPr>
            <w:tcW w:type="dxa" w:w="2736"/>
            <w:vAlign w:val="center"/>
          </w:tcPr>
          <w:p>
            <w:r>
              <w:t>High-level metrics per experiment</w:t>
            </w:r>
          </w:p>
        </w:tc>
        <w:tc>
          <w:tcPr>
            <w:tcW w:type="dxa" w:w="4320"/>
            <w:vAlign w:val="center"/>
          </w:tcPr>
          <w:p>
            <w:r>
              <w:t>experiment_id, benchmark_id, cagr, drawdown, turnover, sharpe</w:t>
            </w:r>
          </w:p>
        </w:tc>
      </w:tr>
      <w:tr>
        <w:tc>
          <w:tcPr>
            <w:tcW w:type="dxa" w:w="2448"/>
            <w:vAlign w:val="center"/>
          </w:tcPr>
          <w:p>
            <w:r>
              <w:t>backtest_period_results</w:t>
            </w:r>
          </w:p>
        </w:tc>
        <w:tc>
          <w:tcPr>
            <w:tcW w:type="dxa" w:w="2736"/>
            <w:vAlign w:val="center"/>
          </w:tcPr>
          <w:p>
            <w:r>
              <w:t>Window-level metrics</w:t>
            </w:r>
          </w:p>
        </w:tc>
        <w:tc>
          <w:tcPr>
            <w:tcW w:type="dxa" w:w="4320"/>
            <w:vAlign w:val="center"/>
          </w:tcPr>
          <w:p>
            <w:r>
              <w:t>experiment_id, period_key, return, benchmark_return, regime_tag</w:t>
            </w:r>
          </w:p>
        </w:tc>
      </w:tr>
      <w:tr>
        <w:tc>
          <w:tcPr>
            <w:tcW w:type="dxa" w:w="2448"/>
            <w:vAlign w:val="center"/>
          </w:tcPr>
          <w:p>
            <w:r>
              <w:t>paper_portfolios</w:t>
            </w:r>
          </w:p>
        </w:tc>
        <w:tc>
          <w:tcPr>
            <w:tcW w:type="dxa" w:w="2736"/>
            <w:vAlign w:val="center"/>
          </w:tcPr>
          <w:p>
            <w:r>
              <w:t>Named paper portfolios</w:t>
            </w:r>
          </w:p>
        </w:tc>
        <w:tc>
          <w:tcPr>
            <w:tcW w:type="dxa" w:w="4320"/>
            <w:vAlign w:val="center"/>
          </w:tcPr>
          <w:p>
            <w:r>
              <w:t>paper_portfolio_id, policy_bundle_id, inception_ts, status</w:t>
            </w:r>
          </w:p>
        </w:tc>
      </w:tr>
      <w:tr>
        <w:tc>
          <w:tcPr>
            <w:tcW w:type="dxa" w:w="2448"/>
            <w:vAlign w:val="center"/>
          </w:tcPr>
          <w:p>
            <w:r>
              <w:t>paper_rebalances</w:t>
            </w:r>
          </w:p>
        </w:tc>
        <w:tc>
          <w:tcPr>
            <w:tcW w:type="dxa" w:w="2736"/>
            <w:vAlign w:val="center"/>
          </w:tcPr>
          <w:p>
            <w:r>
              <w:t>Historical paper rebalance actions</w:t>
            </w:r>
          </w:p>
        </w:tc>
        <w:tc>
          <w:tcPr>
            <w:tcW w:type="dxa" w:w="4320"/>
            <w:vAlign w:val="center"/>
          </w:tcPr>
          <w:p>
            <w:r>
              <w:t>paper_rebalance_id, paper_portfolio_id, recommendation_id, executed_ts</w:t>
            </w:r>
          </w:p>
        </w:tc>
      </w:tr>
      <w:tr>
        <w:tc>
          <w:tcPr>
            <w:tcW w:type="dxa" w:w="2448"/>
            <w:vAlign w:val="center"/>
          </w:tcPr>
          <w:p>
            <w:r>
              <w:t>replay_sessions</w:t>
            </w:r>
          </w:p>
        </w:tc>
        <w:tc>
          <w:tcPr>
            <w:tcW w:type="dxa" w:w="2736"/>
            <w:vAlign w:val="center"/>
          </w:tcPr>
          <w:p>
            <w:r>
              <w:t>Replay request or cached reconstruction</w:t>
            </w:r>
          </w:p>
        </w:tc>
        <w:tc>
          <w:tcPr>
            <w:tcW w:type="dxa" w:w="4320"/>
            <w:vAlign w:val="center"/>
          </w:tcPr>
          <w:p>
            <w:r>
              <w:t>replay_id, recommendation_id, generated_at, narrative_uri</w:t>
            </w:r>
          </w:p>
        </w:tc>
      </w:tr>
      <w:tr>
        <w:tc>
          <w:tcPr>
            <w:tcW w:type="dxa" w:w="2448"/>
            <w:vAlign w:val="center"/>
          </w:tcPr>
          <w:p>
            <w:r>
              <w:t>replay_stage_views</w:t>
            </w:r>
          </w:p>
        </w:tc>
        <w:tc>
          <w:tcPr>
            <w:tcW w:type="dxa" w:w="2736"/>
            <w:vAlign w:val="center"/>
          </w:tcPr>
          <w:p>
            <w:r>
              <w:t>Stage-specific replay data</w:t>
            </w:r>
          </w:p>
        </w:tc>
        <w:tc>
          <w:tcPr>
            <w:tcW w:type="dxa" w:w="4320"/>
            <w:vAlign w:val="center"/>
          </w:tcPr>
          <w:p>
            <w:r>
              <w:t>replay_id, stage_name, object_ref, delta_summary</w:t>
            </w:r>
          </w:p>
        </w:tc>
      </w:tr>
    </w:tbl>
    <w:p/>
    <w:p>
      <w:pPr>
        <w:pStyle w:val="Heading1"/>
      </w:pPr>
      <w:r>
        <w:t>12. Admin, Ops, and Governance Domain</w:t>
      </w:r>
    </w:p>
    <w:p>
      <w:pPr>
        <w:spacing w:after="120" w:line="276" w:lineRule="auto"/>
      </w:pPr>
      <w:r>
        <w:t>Admin and ops data must explain system health in business terms rather than raw log fragments. This domain stores incidents, alerts, approvals, suppressions, manual notes, policy promotions, and operator actions.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D9EAF7"/>
            <w:vAlign w:val="center"/>
          </w:tcPr>
          <w:p>
            <w:r>
              <w:rPr>
                <w:b/>
              </w:rPr>
              <w:t>Table</w:t>
            </w:r>
          </w:p>
        </w:tc>
        <w:tc>
          <w:tcPr>
            <w:tcW w:type="dxa" w:w="2736"/>
            <w:shd w:fill="D9EAF7"/>
            <w:vAlign w:val="center"/>
          </w:tcPr>
          <w:p>
            <w:r>
              <w:rPr>
                <w:b/>
              </w:rPr>
              <w:t>Purpose</w:t>
            </w:r>
          </w:p>
        </w:tc>
        <w:tc>
          <w:tcPr>
            <w:tcW w:type="dxa" w:w="4320"/>
            <w:shd w:fill="D9EAF7"/>
            <w:vAlign w:val="center"/>
          </w:tcPr>
          <w:p>
            <w:r>
              <w:rPr>
                <w:b/>
              </w:rPr>
              <w:t>Key columns</w:t>
            </w:r>
          </w:p>
        </w:tc>
      </w:tr>
      <w:tr>
        <w:tc>
          <w:tcPr>
            <w:tcW w:type="dxa" w:w="2448"/>
            <w:vAlign w:val="center"/>
          </w:tcPr>
          <w:p>
            <w:r>
              <w:t>alerts</w:t>
            </w:r>
          </w:p>
        </w:tc>
        <w:tc>
          <w:tcPr>
            <w:tcW w:type="dxa" w:w="2736"/>
            <w:vAlign w:val="center"/>
          </w:tcPr>
          <w:p>
            <w:r>
              <w:t>Current and historical alert instances</w:t>
            </w:r>
          </w:p>
        </w:tc>
        <w:tc>
          <w:tcPr>
            <w:tcW w:type="dxa" w:w="4320"/>
            <w:vAlign w:val="center"/>
          </w:tcPr>
          <w:p>
            <w:r>
              <w:t>alert_id, alert_type, severity, state, raised_at, linked_object_ref</w:t>
            </w:r>
          </w:p>
        </w:tc>
      </w:tr>
      <w:tr>
        <w:tc>
          <w:tcPr>
            <w:tcW w:type="dxa" w:w="2448"/>
            <w:vAlign w:val="center"/>
          </w:tcPr>
          <w:p>
            <w:r>
              <w:t>incidents</w:t>
            </w:r>
          </w:p>
        </w:tc>
        <w:tc>
          <w:tcPr>
            <w:tcW w:type="dxa" w:w="2736"/>
            <w:vAlign w:val="center"/>
          </w:tcPr>
          <w:p>
            <w:r>
              <w:t>Operator-managed incident records</w:t>
            </w:r>
          </w:p>
        </w:tc>
        <w:tc>
          <w:tcPr>
            <w:tcW w:type="dxa" w:w="4320"/>
            <w:vAlign w:val="center"/>
          </w:tcPr>
          <w:p>
            <w:r>
              <w:t>incident_id, severity, status, owner_id, opened_at, resolved_at</w:t>
            </w:r>
          </w:p>
        </w:tc>
      </w:tr>
      <w:tr>
        <w:tc>
          <w:tcPr>
            <w:tcW w:type="dxa" w:w="2448"/>
            <w:vAlign w:val="center"/>
          </w:tcPr>
          <w:p>
            <w:r>
              <w:t>audit_events</w:t>
            </w:r>
          </w:p>
        </w:tc>
        <w:tc>
          <w:tcPr>
            <w:tcW w:type="dxa" w:w="2736"/>
            <w:vAlign w:val="center"/>
          </w:tcPr>
          <w:p>
            <w:r>
              <w:t>Immutable audit trail</w:t>
            </w:r>
          </w:p>
        </w:tc>
        <w:tc>
          <w:tcPr>
            <w:tcW w:type="dxa" w:w="4320"/>
            <w:vAlign w:val="center"/>
          </w:tcPr>
          <w:p>
            <w:r>
              <w:t>audit_event_id, actor_id, action_type, object_ref, occurred_at, payload_ref</w:t>
            </w:r>
          </w:p>
        </w:tc>
      </w:tr>
      <w:tr>
        <w:tc>
          <w:tcPr>
            <w:tcW w:type="dxa" w:w="2448"/>
            <w:vAlign w:val="center"/>
          </w:tcPr>
          <w:p>
            <w:r>
              <w:t>approvals</w:t>
            </w:r>
          </w:p>
        </w:tc>
        <w:tc>
          <w:tcPr>
            <w:tcW w:type="dxa" w:w="2736"/>
            <w:vAlign w:val="center"/>
          </w:tcPr>
          <w:p>
            <w:r>
              <w:t>Approval and rejection records</w:t>
            </w:r>
          </w:p>
        </w:tc>
        <w:tc>
          <w:tcPr>
            <w:tcW w:type="dxa" w:w="4320"/>
            <w:vAlign w:val="center"/>
          </w:tcPr>
          <w:p>
            <w:r>
              <w:t>approval_id, object_ref, workflow_type, decision, actor_id, decided_at</w:t>
            </w:r>
          </w:p>
        </w:tc>
      </w:tr>
      <w:tr>
        <w:tc>
          <w:tcPr>
            <w:tcW w:type="dxa" w:w="2448"/>
            <w:vAlign w:val="center"/>
          </w:tcPr>
          <w:p>
            <w:r>
              <w:t>policy_versions</w:t>
            </w:r>
          </w:p>
        </w:tc>
        <w:tc>
          <w:tcPr>
            <w:tcW w:type="dxa" w:w="2736"/>
            <w:vAlign w:val="center"/>
          </w:tcPr>
          <w:p>
            <w:r>
              <w:t>Selection/allocation/timing/risk bundle registry</w:t>
            </w:r>
          </w:p>
        </w:tc>
        <w:tc>
          <w:tcPr>
            <w:tcW w:type="dxa" w:w="4320"/>
            <w:vAlign w:val="center"/>
          </w:tcPr>
          <w:p>
            <w:r>
              <w:t>policy_version_id, bundle_type, semantic_version, promoted_at</w:t>
            </w:r>
          </w:p>
        </w:tc>
      </w:tr>
      <w:tr>
        <w:tc>
          <w:tcPr>
            <w:tcW w:type="dxa" w:w="2448"/>
            <w:vAlign w:val="center"/>
          </w:tcPr>
          <w:p>
            <w:r>
              <w:t>manual_overrides</w:t>
            </w:r>
          </w:p>
        </w:tc>
        <w:tc>
          <w:tcPr>
            <w:tcW w:type="dxa" w:w="2736"/>
            <w:vAlign w:val="center"/>
          </w:tcPr>
          <w:p>
            <w:r>
              <w:t>Explicit operator overrides</w:t>
            </w:r>
          </w:p>
        </w:tc>
        <w:tc>
          <w:tcPr>
            <w:tcW w:type="dxa" w:w="4320"/>
            <w:vAlign w:val="center"/>
          </w:tcPr>
          <w:p>
            <w:r>
              <w:t>override_id, object_ref, override_type, reason, expires_at</w:t>
            </w:r>
          </w:p>
        </w:tc>
      </w:tr>
    </w:tbl>
    <w:p/>
    <w:p>
      <w:pPr>
        <w:pStyle w:val="Heading1"/>
      </w:pPr>
      <w:r>
        <w:t>13. Read Models and API-Optimized Views</w:t>
      </w:r>
    </w:p>
    <w:p>
      <w:pPr>
        <w:spacing w:after="120" w:line="276" w:lineRule="auto"/>
      </w:pPr>
      <w:r>
        <w:t>Not every user-facing response should be assembled from normalized tables at request time. The schema should include read models or materialized views optimized for the overview, decision breakdown, admin command center, and replay summary screens.</w:t>
      </w:r>
    </w:p>
    <w:p>
      <w:pPr>
        <w:spacing w:after="120" w:line="276" w:lineRule="auto"/>
      </w:pPr>
      <w:r>
        <w:t>Read models should be rebuildable from canonical state. They are convenience layers, not the source of truth.</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Read model</w:t>
            </w:r>
          </w:p>
        </w:tc>
        <w:tc>
          <w:tcPr>
            <w:tcW w:type="dxa" w:w="3168"/>
            <w:shd w:fill="D9EAF7"/>
            <w:vAlign w:val="center"/>
          </w:tcPr>
          <w:p>
            <w:r>
              <w:rPr>
                <w:b/>
              </w:rPr>
              <w:t>Purpose</w:t>
            </w:r>
          </w:p>
        </w:tc>
        <w:tc>
          <w:tcPr>
            <w:tcW w:type="dxa" w:w="3744"/>
            <w:shd w:fill="D9EAF7"/>
            <w:vAlign w:val="center"/>
          </w:tcPr>
          <w:p>
            <w:r>
              <w:rPr>
                <w:b/>
              </w:rPr>
              <w:t>Built from</w:t>
            </w:r>
          </w:p>
        </w:tc>
      </w:tr>
      <w:tr>
        <w:tc>
          <w:tcPr>
            <w:tcW w:type="dxa" w:w="2592"/>
            <w:vAlign w:val="center"/>
          </w:tcPr>
          <w:p>
            <w:r>
              <w:t>overview_snapshot_view</w:t>
            </w:r>
          </w:p>
        </w:tc>
        <w:tc>
          <w:tcPr>
            <w:tcW w:type="dxa" w:w="3168"/>
            <w:vAlign w:val="center"/>
          </w:tcPr>
          <w:p>
            <w:r>
              <w:t>Fast current recommendation summary</w:t>
            </w:r>
          </w:p>
        </w:tc>
        <w:tc>
          <w:tcPr>
            <w:tcW w:type="dxa" w:w="3744"/>
            <w:vAlign w:val="center"/>
          </w:tcPr>
          <w:p>
            <w:r>
              <w:t>recommendation_runs, publication_records, current freshness metrics</w:t>
            </w:r>
          </w:p>
        </w:tc>
      </w:tr>
      <w:tr>
        <w:tc>
          <w:tcPr>
            <w:tcW w:type="dxa" w:w="2592"/>
            <w:vAlign w:val="center"/>
          </w:tcPr>
          <w:p>
            <w:r>
              <w:t>decision_breakdown_view</w:t>
            </w:r>
          </w:p>
        </w:tc>
        <w:tc>
          <w:tcPr>
            <w:tcW w:type="dxa" w:w="3168"/>
            <w:vAlign w:val="center"/>
          </w:tcPr>
          <w:p>
            <w:r>
              <w:t>Selection/allocation/timing/risk explainer</w:t>
            </w:r>
          </w:p>
        </w:tc>
        <w:tc>
          <w:tcPr>
            <w:tcW w:type="dxa" w:w="3744"/>
            <w:vAlign w:val="center"/>
          </w:tcPr>
          <w:p>
            <w:r>
              <w:t>decision-stage tables and rationale fragments</w:t>
            </w:r>
          </w:p>
        </w:tc>
      </w:tr>
      <w:tr>
        <w:tc>
          <w:tcPr>
            <w:tcW w:type="dxa" w:w="2592"/>
            <w:vAlign w:val="center"/>
          </w:tcPr>
          <w:p>
            <w:r>
              <w:t>engine_comparison_view</w:t>
            </w:r>
          </w:p>
        </w:tc>
        <w:tc>
          <w:tcPr>
            <w:tcW w:type="dxa" w:w="3168"/>
            <w:vAlign w:val="center"/>
          </w:tcPr>
          <w:p>
            <w:r>
              <w:t>Cross-engine matrix</w:t>
            </w:r>
          </w:p>
        </w:tc>
        <w:tc>
          <w:tcPr>
            <w:tcW w:type="dxa" w:w="3744"/>
            <w:vAlign w:val="center"/>
          </w:tcPr>
          <w:p>
            <w:r>
              <w:t>signal_runs and signal_asset_outputs</w:t>
            </w:r>
          </w:p>
        </w:tc>
      </w:tr>
      <w:tr>
        <w:tc>
          <w:tcPr>
            <w:tcW w:type="dxa" w:w="2592"/>
            <w:vAlign w:val="center"/>
          </w:tcPr>
          <w:p>
            <w:r>
              <w:t>ops_command_center_view</w:t>
            </w:r>
          </w:p>
        </w:tc>
        <w:tc>
          <w:tcPr>
            <w:tcW w:type="dxa" w:w="3168"/>
            <w:vAlign w:val="center"/>
          </w:tcPr>
          <w:p>
            <w:r>
              <w:t>Admin home screen</w:t>
            </w:r>
          </w:p>
        </w:tc>
        <w:tc>
          <w:tcPr>
            <w:tcW w:type="dxa" w:w="3744"/>
            <w:vAlign w:val="center"/>
          </w:tcPr>
          <w:p>
            <w:r>
              <w:t>alerts, incidents, queue and freshness aggregates</w:t>
            </w:r>
          </w:p>
        </w:tc>
      </w:tr>
      <w:tr>
        <w:tc>
          <w:tcPr>
            <w:tcW w:type="dxa" w:w="2592"/>
            <w:vAlign w:val="center"/>
          </w:tcPr>
          <w:p>
            <w:r>
              <w:t>paper_monitor_view</w:t>
            </w:r>
          </w:p>
        </w:tc>
        <w:tc>
          <w:tcPr>
            <w:tcW w:type="dxa" w:w="3168"/>
            <w:vAlign w:val="center"/>
          </w:tcPr>
          <w:p>
            <w:r>
              <w:t>Paper status and drift summary</w:t>
            </w:r>
          </w:p>
        </w:tc>
        <w:tc>
          <w:tcPr>
            <w:tcW w:type="dxa" w:w="3744"/>
            <w:vAlign w:val="center"/>
          </w:tcPr>
          <w:p>
            <w:r>
              <w:t>paper_rebalances, portfolio snapshots, recommendation diffs</w:t>
            </w:r>
          </w:p>
        </w:tc>
      </w:tr>
    </w:tbl>
    <w:p/>
    <w:p>
      <w:pPr>
        <w:pStyle w:val="Heading1"/>
      </w:pPr>
      <w:r>
        <w:t>14. Retention, Partitioning, and Index Strategy</w:t>
      </w:r>
    </w:p>
    <w:p>
      <w:pPr>
        <w:spacing w:after="120" w:line="276" w:lineRule="auto"/>
      </w:pPr>
      <w:r>
        <w:t>Retention should reflect product value, legal sensitivity, and operational cost. Recommendation history, stage outputs, approvals, and audit events should be kept long enough to support meaningful replay and trust analysis. High-volume raw payloads and feature values may be tiered between hot and cold storage.</w:t>
      </w:r>
    </w:p>
    <w:p>
      <w:pPr>
        <w:spacing w:after="120" w:line="276" w:lineRule="auto"/>
      </w:pPr>
      <w:r>
        <w:t>Partition the heaviest time-series and event tables by date and, where useful, by interval or source. Index for the most common joins: asset plus time, recommendation plus stage reference, experiment plus benchmark, and alert plus state.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Data family</w:t>
            </w:r>
          </w:p>
        </w:tc>
        <w:tc>
          <w:tcPr>
            <w:tcW w:type="dxa" w:w="3168"/>
            <w:shd w:fill="D9EAF7"/>
            <w:vAlign w:val="center"/>
          </w:tcPr>
          <w:p>
            <w:r>
              <w:rPr>
                <w:b/>
              </w:rPr>
              <w:t>Suggested retention posture</w:t>
            </w:r>
          </w:p>
        </w:tc>
        <w:tc>
          <w:tcPr>
            <w:tcW w:type="dxa" w:w="3744"/>
            <w:shd w:fill="D9EAF7"/>
            <w:vAlign w:val="center"/>
          </w:tcPr>
          <w:p>
            <w:r>
              <w:rPr>
                <w:b/>
              </w:rPr>
              <w:t>Notes</w:t>
            </w:r>
          </w:p>
        </w:tc>
      </w:tr>
      <w:tr>
        <w:tc>
          <w:tcPr>
            <w:tcW w:type="dxa" w:w="2592"/>
            <w:vAlign w:val="center"/>
          </w:tcPr>
          <w:p>
            <w:r>
              <w:t>Recommendation and stage history</w:t>
            </w:r>
          </w:p>
        </w:tc>
        <w:tc>
          <w:tcPr>
            <w:tcW w:type="dxa" w:w="3168"/>
            <w:vAlign w:val="center"/>
          </w:tcPr>
          <w:p>
            <w:r>
              <w:t>Long-term</w:t>
            </w:r>
          </w:p>
        </w:tc>
        <w:tc>
          <w:tcPr>
            <w:tcW w:type="dxa" w:w="3744"/>
            <w:vAlign w:val="center"/>
          </w:tcPr>
          <w:p>
            <w:r>
              <w:t>Required for replay and trust</w:t>
            </w:r>
          </w:p>
        </w:tc>
      </w:tr>
      <w:tr>
        <w:tc>
          <w:tcPr>
            <w:tcW w:type="dxa" w:w="2592"/>
            <w:vAlign w:val="center"/>
          </w:tcPr>
          <w:p>
            <w:r>
              <w:t>Raw payload manifests</w:t>
            </w:r>
          </w:p>
        </w:tc>
        <w:tc>
          <w:tcPr>
            <w:tcW w:type="dxa" w:w="3168"/>
            <w:vAlign w:val="center"/>
          </w:tcPr>
          <w:p>
            <w:r>
              <w:t>Long-term manifest, cold-store payloads</w:t>
            </w:r>
          </w:p>
        </w:tc>
        <w:tc>
          <w:tcPr>
            <w:tcW w:type="dxa" w:w="3744"/>
            <w:vAlign w:val="center"/>
          </w:tcPr>
          <w:p>
            <w:r>
              <w:t>Keep checksums and URIs even if blobs are tiered</w:t>
            </w:r>
          </w:p>
        </w:tc>
      </w:tr>
      <w:tr>
        <w:tc>
          <w:tcPr>
            <w:tcW w:type="dxa" w:w="2592"/>
            <w:vAlign w:val="center"/>
          </w:tcPr>
          <w:p>
            <w:r>
              <w:t>Feature values</w:t>
            </w:r>
          </w:p>
        </w:tc>
        <w:tc>
          <w:tcPr>
            <w:tcW w:type="dxa" w:w="3168"/>
            <w:vAlign w:val="center"/>
          </w:tcPr>
          <w:p>
            <w:r>
              <w:t>Tiered by age</w:t>
            </w:r>
          </w:p>
        </w:tc>
        <w:tc>
          <w:tcPr>
            <w:tcW w:type="dxa" w:w="3744"/>
            <w:vAlign w:val="center"/>
          </w:tcPr>
          <w:p>
            <w:r>
              <w:t>Hot recent windows, cold archive for reproducibility</w:t>
            </w:r>
          </w:p>
        </w:tc>
      </w:tr>
      <w:tr>
        <w:tc>
          <w:tcPr>
            <w:tcW w:type="dxa" w:w="2592"/>
            <w:vAlign w:val="center"/>
          </w:tcPr>
          <w:p>
            <w:r>
              <w:t>Logs and metrics</w:t>
            </w:r>
          </w:p>
        </w:tc>
        <w:tc>
          <w:tcPr>
            <w:tcW w:type="dxa" w:w="3168"/>
            <w:vAlign w:val="center"/>
          </w:tcPr>
          <w:p>
            <w:r>
              <w:t>Policy-driven operational retention</w:t>
            </w:r>
          </w:p>
        </w:tc>
        <w:tc>
          <w:tcPr>
            <w:tcW w:type="dxa" w:w="3744"/>
            <w:vAlign w:val="center"/>
          </w:tcPr>
          <w:p>
            <w:r>
              <w:t>Separate from domain retention</w:t>
            </w:r>
          </w:p>
        </w:tc>
      </w:tr>
      <w:tr>
        <w:tc>
          <w:tcPr>
            <w:tcW w:type="dxa" w:w="2592"/>
            <w:vAlign w:val="center"/>
          </w:tcPr>
          <w:p>
            <w:r>
              <w:t>Paper and validation artifacts</w:t>
            </w:r>
          </w:p>
        </w:tc>
        <w:tc>
          <w:tcPr>
            <w:tcW w:type="dxa" w:w="3168"/>
            <w:vAlign w:val="center"/>
          </w:tcPr>
          <w:p>
            <w:r>
              <w:t>Long-term for promoted methods; tiered otherwise</w:t>
            </w:r>
          </w:p>
        </w:tc>
        <w:tc>
          <w:tcPr>
            <w:tcW w:type="dxa" w:w="3744"/>
            <w:vAlign w:val="center"/>
          </w:tcPr>
          <w:p>
            <w:r>
              <w:t>Preserve evidence for policy changes</w:t>
            </w:r>
          </w:p>
        </w:tc>
      </w:tr>
    </w:tbl>
    <w:p/>
    <w:p>
      <w:pPr>
        <w:pStyle w:val="Heading1"/>
      </w:pPr>
      <w:r>
        <w:t>15. Migration and Schema Evolution Rules</w:t>
      </w:r>
    </w:p>
    <w:p>
      <w:pPr>
        <w:pStyle w:val="ListBullet"/>
      </w:pPr>
      <w:r>
        <w:t>Use forward-only, version-controlled migrations.</w:t>
      </w:r>
    </w:p>
    <w:p>
      <w:pPr>
        <w:pStyle w:val="ListBullet"/>
      </w:pPr>
      <w:r>
        <w:t>Never change a historical meaning of a status or risk reason without explicit migration and mapping.</w:t>
      </w:r>
    </w:p>
    <w:p>
      <w:pPr>
        <w:pStyle w:val="ListBullet"/>
      </w:pPr>
      <w:r>
        <w:t>Prefer additive schema changes over destructive ones when historical replay would be impacted.</w:t>
      </w:r>
    </w:p>
    <w:p>
      <w:pPr>
        <w:pStyle w:val="ListBullet"/>
      </w:pPr>
      <w:r>
        <w:t>Treat changes to ids, timestamps, or publication-state semantics as high-risk migrations requiring rehearsal.</w:t>
      </w:r>
    </w:p>
    <w:p>
      <w:pPr>
        <w:pStyle w:val="ListBullet"/>
      </w:pPr>
      <w:r>
        <w:t>Preserve compatibility windows between Document 11 schemas and Document 12 API contracts.</w:t>
      </w:r>
    </w:p>
    <w:p>
      <w:pPr>
        <w:pStyle w:val="ListBullet"/>
      </w:pPr>
      <w:r>
        <w:t>When introducing a new stage or engine family, add canonical metadata fields before adding specialized payloads.</w:t>
      </w:r>
    </w:p>
    <w:p>
      <w:pPr>
        <w:pStyle w:val="Heading1"/>
      </w:pPr>
      <w:r>
        <w:t>Appendix A - Canonical Recommendation JSON Skeleton</w:t>
      </w:r>
    </w:p>
    <w:p>
      <w:pPr>
        <w:spacing w:after="120" w:line="276" w:lineRule="auto"/>
      </w:pPr>
      <w:r>
        <w:t>{ "recommendation_id": "...", "as_of": "...", "context": {"universe_id": "...", "horizon": "medium_term"}, "stage_refs": {"selection_run_id": "...", "allocation_run_id": "...", "timing_run_id": "...", "risk_run_id": "..."}, "portfolio": [{"asset_id": "...", "target_weight": 0.08}], "confidence": {"overall": 0.72, "data": 0.81, "model": 0.69, "operational": 0.93}, "status": {"publication_state": "published", "health_state": "healthy"}, "warnings": [], "audit_ref": "..." }</w:t>
      </w:r>
    </w:p>
    <w:p>
      <w:pPr>
        <w:pStyle w:val="Heading1"/>
      </w:pPr>
      <w:r>
        <w:t>Appendix B - Table Creation Priority</w:t>
      </w:r>
    </w:p>
    <w:p>
      <w:pPr>
        <w:pStyle w:val="ListNumber"/>
      </w:pPr>
      <w:r>
        <w:t>Reference data, raw manifests, market_bars, and news_events.</w:t>
      </w:r>
    </w:p>
    <w:p>
      <w:pPr>
        <w:pStyle w:val="ListNumber"/>
      </w:pPr>
      <w:r>
        <w:t>Feature registry and signal runs.</w:t>
      </w:r>
    </w:p>
    <w:p>
      <w:pPr>
        <w:pStyle w:val="ListNumber"/>
      </w:pPr>
      <w:r>
        <w:t>Selection, allocation, timing, and risk overlay tables.</w:t>
      </w:r>
    </w:p>
    <w:p>
      <w:pPr>
        <w:pStyle w:val="ListNumber"/>
      </w:pPr>
      <w:r>
        <w:t>Recommendation and publication records plus current read models.</w:t>
      </w:r>
    </w:p>
    <w:p>
      <w:pPr>
        <w:pStyle w:val="ListNumber"/>
      </w:pPr>
      <w:r>
        <w:t>Validation, paper, replay, alerts, incidents, approvals, and audit events.</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