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QP"/>
        <w:jc w:val="center"/>
      </w:pPr>
      <w:r>
        <w:t>12. API Contract Specification</w:t>
      </w:r>
    </w:p>
    <w:p>
      <w:pPr>
        <w:pStyle w:val="SubtitleQP"/>
        <w:jc w:val="center"/>
      </w:pPr>
      <w:r>
        <w:t>Service contracts for experience, decision, validation, and admin workflows</w:t>
      </w:r>
    </w:p>
    <w:p>
      <w:pPr>
        <w:jc w:val="center"/>
      </w:pPr>
      <w:r/>
    </w:p>
    <w:p>
      <w:pPr>
        <w:jc w:val="center"/>
      </w:pPr>
      <w:r>
        <w:t>Project: QuantPipeline</w:t>
      </w:r>
    </w:p>
    <w:p>
      <w:pPr>
        <w:jc w:val="center"/>
      </w:pPr>
      <w:r>
        <w:t>Document status: Working baseline for product and engineering delivery</w:t>
      </w:r>
    </w:p>
    <w:p>
      <w:pPr>
        <w:jc w:val="center"/>
      </w:pPr>
      <w:r>
        <w:t>Version: v1.0</w:t>
      </w:r>
    </w:p>
    <w:p>
      <w:pPr>
        <w:jc w:val="center"/>
      </w:pPr>
      <w:r>
        <w:t>Date: 2026-04-23</w:t>
      </w:r>
    </w:p>
    <w:p>
      <w:pPr>
        <w:jc w:val="center"/>
      </w:pPr>
      <w:r>
        <w:t>Audience: Product owner, architecture, development, QA, and future implementation agents</w:t>
      </w:r>
    </w:p>
    <w:p/>
    <w:tbl>
      <w:tblPr>
        <w:tblStyle w:val="TableGrid"/>
        <w:tblW w:type="auto" w:w="0"/>
        <w:tblLook w:firstColumn="1" w:firstRow="1" w:lastColumn="0" w:lastRow="0" w:noHBand="0" w:noVBand="1" w:val="04A0"/>
      </w:tblPr>
      <w:tblGrid>
        <w:gridCol w:w="9749"/>
      </w:tblGrid>
      <w:tr>
        <w:tc>
          <w:tcPr>
            <w:tcW w:type="dxa" w:w="9749"/>
            <w:shd w:fill="F4F7FB"/>
          </w:tcPr>
          <w:p>
            <w:r>
              <w:rPr>
                <w:b/>
              </w:rPr>
              <w:t xml:space="preserve">Purpose: </w:t>
            </w:r>
            <w:r>
              <w:t>This document is intended to be implementable. It defines contracts, boundaries, and decisions that should survive future feature growth without breaking the core recommendation pipeline.</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880"/>
            <w:shd w:fill="D9EAF7"/>
            <w:vAlign w:val="center"/>
          </w:tcPr>
          <w:p>
            <w:r>
              <w:rPr>
                <w:b/>
              </w:rPr>
              <w:t>Field</w:t>
            </w:r>
          </w:p>
        </w:tc>
        <w:tc>
          <w:tcPr>
            <w:tcW w:type="dxa" w:w="6912"/>
            <w:shd w:fill="D9EAF7"/>
            <w:vAlign w:val="center"/>
          </w:tcPr>
          <w:p>
            <w:r>
              <w:rPr>
                <w:b/>
              </w:rPr>
              <w:t>Value</w:t>
            </w:r>
          </w:p>
        </w:tc>
      </w:tr>
      <w:tr>
        <w:tc>
          <w:tcPr>
            <w:tcW w:type="dxa" w:w="2880"/>
            <w:vAlign w:val="center"/>
          </w:tcPr>
          <w:p>
            <w:r>
              <w:t>Document code</w:t>
            </w:r>
          </w:p>
        </w:tc>
        <w:tc>
          <w:tcPr>
            <w:tcW w:type="dxa" w:w="6912"/>
            <w:vAlign w:val="center"/>
          </w:tcPr>
          <w:p>
            <w:r>
              <w:t>12</w:t>
            </w:r>
          </w:p>
        </w:tc>
      </w:tr>
      <w:tr>
        <w:tc>
          <w:tcPr>
            <w:tcW w:type="dxa" w:w="2880"/>
            <w:vAlign w:val="center"/>
          </w:tcPr>
          <w:p>
            <w:r>
              <w:t>Title</w:t>
            </w:r>
          </w:p>
        </w:tc>
        <w:tc>
          <w:tcPr>
            <w:tcW w:type="dxa" w:w="6912"/>
            <w:vAlign w:val="center"/>
          </w:tcPr>
          <w:p>
            <w:r>
              <w:t>API Contract Specification</w:t>
            </w:r>
          </w:p>
        </w:tc>
      </w:tr>
      <w:tr>
        <w:tc>
          <w:tcPr>
            <w:tcW w:type="dxa" w:w="2880"/>
            <w:vAlign w:val="center"/>
          </w:tcPr>
          <w:p>
            <w:r>
              <w:t>Primary input set</w:t>
            </w:r>
          </w:p>
        </w:tc>
        <w:tc>
          <w:tcPr>
            <w:tcW w:type="dxa" w:w="6912"/>
            <w:vAlign w:val="center"/>
          </w:tcPr>
          <w:p>
            <w:r>
              <w:t>Documents 01-09, A1 technology recommendation, and baseline truth table</w:t>
            </w:r>
          </w:p>
        </w:tc>
      </w:tr>
      <w:tr>
        <w:tc>
          <w:tcPr>
            <w:tcW w:type="dxa" w:w="2880"/>
            <w:vAlign w:val="center"/>
          </w:tcPr>
          <w:p>
            <w:r>
              <w:t>Primary architecture anchor</w:t>
            </w:r>
          </w:p>
        </w:tc>
        <w:tc>
          <w:tcPr>
            <w:tcW w:type="dxa" w:w="6912"/>
            <w:vAlign w:val="center"/>
          </w:tcPr>
          <w:p>
            <w:r>
              <w:t>Data &amp; Feature Layer -&gt; Signals -&gt; Selection -&gt; Allocation -&gt; Timing -&gt; Risk Overlay -&gt; Recommendation Object -&gt; Backtest / Paper / Replay / Ops</w:t>
            </w:r>
          </w:p>
        </w:tc>
      </w:tr>
      <w:tr>
        <w:tc>
          <w:tcPr>
            <w:tcW w:type="dxa" w:w="2880"/>
            <w:vAlign w:val="center"/>
          </w:tcPr>
          <w:p>
            <w:r>
              <w:t>Assumed release posture</w:t>
            </w:r>
          </w:p>
        </w:tc>
        <w:tc>
          <w:tcPr>
            <w:tcW w:type="dxa" w:w="6912"/>
            <w:vAlign w:val="center"/>
          </w:tcPr>
          <w:p>
            <w:r>
              <w:t>Private single-user first release with future-safe modular boundaries</w:t>
            </w:r>
          </w:p>
        </w:tc>
      </w:tr>
      <w:tr>
        <w:tc>
          <w:tcPr>
            <w:tcW w:type="dxa" w:w="2880"/>
            <w:vAlign w:val="center"/>
          </w:tcPr>
          <w:p>
            <w:r>
              <w:t>Key dependencies</w:t>
            </w:r>
          </w:p>
        </w:tc>
        <w:tc>
          <w:tcPr>
            <w:tcW w:type="dxa" w:w="6912"/>
            <w:vAlign w:val="center"/>
          </w:tcPr>
          <w:p>
            <w:r>
              <w:t>Documents 10 and 11, 08 PRD, 09 Functional Requirements</w:t>
            </w:r>
          </w:p>
        </w:tc>
      </w:tr>
      <w:tr>
        <w:tc>
          <w:tcPr>
            <w:tcW w:type="dxa" w:w="2880"/>
            <w:vAlign w:val="center"/>
          </w:tcPr>
          <w:p>
            <w:r>
              <w:t>Quality rule</w:t>
            </w:r>
          </w:p>
        </w:tc>
        <w:tc>
          <w:tcPr>
            <w:tcW w:type="dxa" w:w="6912"/>
            <w:vAlign w:val="center"/>
          </w:tcPr>
          <w:p>
            <w:r>
              <w:t>No silent degradation, explicit trust semantics, and replayable output</w:t>
            </w:r>
          </w:p>
        </w:tc>
      </w:tr>
    </w:tbl>
    <w:p/>
    <w:p>
      <w:pPr>
        <w:pStyle w:val="Heading1"/>
      </w:pPr>
      <w:r>
        <w:t>1. API Contract Purpose</w:t>
      </w:r>
    </w:p>
    <w:p>
      <w:pPr>
        <w:spacing w:after="120" w:line="276" w:lineRule="auto"/>
      </w:pPr>
      <w:r>
        <w:t>This document defines the service contract surface of QuantPipeline. It covers the request and response expectations for the experience layer, scenario workflows, replay, validation, paper monitoring, and admin operations. The goal is to make the platform buildable across web, mobile web, and future native clients without changing the meaning of core domain objects.</w:t>
      </w:r>
    </w:p>
    <w:p>
      <w:pPr>
        <w:spacing w:after="120" w:line="276" w:lineRule="auto"/>
      </w:pPr>
      <w:r>
        <w:t>The API surface is intentionally recommendation-centric and audit-aware. Endpoints should not expose backend implementation fragments without user meaning. They should deliver objects that map to real screens, decision questions, and operator workflows while still carrying trace identifiers and stage references for debugging and replay.</w:t>
      </w:r>
    </w:p>
    <w:p>
      <w:pPr>
        <w:pStyle w:val="Heading1"/>
      </w:pPr>
      <w:r>
        <w:t>2. API Surface Map</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12_api_surface_map.png"/>
                    <pic:cNvPicPr/>
                  </pic:nvPicPr>
                  <pic:blipFill>
                    <a:blip r:embed="rId10"/>
                    <a:stretch>
                      <a:fillRect/>
                    </a:stretch>
                  </pic:blipFill>
                  <pic:spPr>
                    <a:xfrm>
                      <a:off x="0" y="0"/>
                      <a:ext cx="6217920" cy="3497580"/>
                    </a:xfrm>
                    <a:prstGeom prst="rect"/>
                  </pic:spPr>
                </pic:pic>
              </a:graphicData>
            </a:graphic>
          </wp:inline>
        </w:drawing>
      </w:r>
    </w:p>
    <w:p>
      <w:pPr>
        <w:jc w:val="center"/>
      </w:pPr>
      <w:r>
        <w:rPr>
          <w:i/>
          <w:sz w:val="18"/>
        </w:rPr>
        <w:t>Figure 12-1. High-level API surface map.</w:t>
      </w:r>
    </w:p>
    <w:p/>
    <w:p>
      <w:pPr>
        <w:pStyle w:val="Heading1"/>
      </w:pPr>
      <w:r>
        <w:t>3. Contract Principles</w:t>
      </w:r>
    </w:p>
    <w:p>
      <w:pPr>
        <w:pStyle w:val="ListBullet"/>
      </w:pPr>
      <w:r>
        <w:t>Version every public route namespace.</w:t>
      </w:r>
    </w:p>
    <w:p>
      <w:pPr>
        <w:pStyle w:val="ListBullet"/>
      </w:pPr>
      <w:r>
        <w:t>Return typed envelopes with metadata, data payload, and warnings.</w:t>
      </w:r>
    </w:p>
    <w:p>
      <w:pPr>
        <w:pStyle w:val="ListBullet"/>
      </w:pPr>
      <w:r>
        <w:t>Expose trace_id and recommendation or run references where relevant.</w:t>
      </w:r>
    </w:p>
    <w:p>
      <w:pPr>
        <w:pStyle w:val="ListBullet"/>
      </w:pPr>
      <w:r>
        <w:t>Use typed error objects instead of free-form error strings.</w:t>
      </w:r>
    </w:p>
    <w:p>
      <w:pPr>
        <w:pStyle w:val="ListBullet"/>
      </w:pPr>
      <w:r>
        <w:t>Keep user-facing semantics stable even if internal services change.</w:t>
      </w:r>
    </w:p>
    <w:p>
      <w:pPr>
        <w:pStyle w:val="ListBullet"/>
      </w:pPr>
      <w:r>
        <w:t>Mark temporary scenario outputs explicitly so they cannot be confused with published recommendations.</w:t>
      </w:r>
    </w:p>
    <w:p>
      <w:pPr>
        <w:pStyle w:val="ListBullet"/>
      </w:pPr>
      <w:r>
        <w:t>Support partial and degraded states through explicit status fields rather than transport-level ambiguity.</w:t>
      </w:r>
    </w:p>
    <w:p>
      <w:pPr>
        <w:pStyle w:val="ListBullet"/>
      </w:pPr>
      <w:r>
        <w:t>Design for desktop-first payload richness while staying safe for mobile clients.</w:t>
      </w:r>
    </w:p>
    <w:p>
      <w:pPr>
        <w:pStyle w:val="Heading1"/>
      </w:pPr>
      <w:r>
        <w:t>4. Authentication and Authorization</w:t>
      </w:r>
    </w:p>
    <w:p>
      <w:pPr>
        <w:spacing w:after="120" w:line="276" w:lineRule="auto"/>
      </w:pPr>
      <w:r>
        <w:t>The initial product is private, but the API still requires explicit authentication and role-aware authorization. At minimum, distinguish between read, simulate, approve/publish, and admin/ops actions. This avoids hard-wiring a security exception that would later weaken auditability.</w:t>
      </w:r>
    </w:p>
    <w:p>
      <w:pPr>
        <w:spacing w:after="120" w:line="276" w:lineRule="auto"/>
      </w:pPr>
      <w:r>
        <w:t>Recommended mechanism: secure session or token-based auth at the gateway, server-side session validation, and policy checks in command handlers. Every mutation endpoint should emit an audit event containing actor, action, object reference, and outcome.</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2160"/>
            <w:shd w:fill="D9EAF7"/>
            <w:vAlign w:val="center"/>
          </w:tcPr>
          <w:p>
            <w:r>
              <w:rPr>
                <w:b/>
              </w:rPr>
              <w:t>Role</w:t>
            </w:r>
          </w:p>
        </w:tc>
        <w:tc>
          <w:tcPr>
            <w:tcW w:type="dxa" w:w="1728"/>
            <w:shd w:fill="D9EAF7"/>
            <w:vAlign w:val="center"/>
          </w:tcPr>
          <w:p>
            <w:r>
              <w:rPr>
                <w:b/>
              </w:rPr>
              <w:t>Read recommendation</w:t>
            </w:r>
          </w:p>
        </w:tc>
        <w:tc>
          <w:tcPr>
            <w:tcW w:type="dxa" w:w="1728"/>
            <w:shd w:fill="D9EAF7"/>
            <w:vAlign w:val="center"/>
          </w:tcPr>
          <w:p>
            <w:r>
              <w:rPr>
                <w:b/>
              </w:rPr>
              <w:t>Run scenario</w:t>
            </w:r>
          </w:p>
        </w:tc>
        <w:tc>
          <w:tcPr>
            <w:tcW w:type="dxa" w:w="1728"/>
            <w:shd w:fill="D9EAF7"/>
            <w:vAlign w:val="center"/>
          </w:tcPr>
          <w:p>
            <w:r>
              <w:rPr>
                <w:b/>
              </w:rPr>
              <w:t>Publish/approve</w:t>
            </w:r>
          </w:p>
        </w:tc>
        <w:tc>
          <w:tcPr>
            <w:tcW w:type="dxa" w:w="1728"/>
            <w:shd w:fill="D9EAF7"/>
            <w:vAlign w:val="center"/>
          </w:tcPr>
          <w:p>
            <w:r>
              <w:rPr>
                <w:b/>
              </w:rPr>
              <w:t>Admin mutate</w:t>
            </w:r>
          </w:p>
        </w:tc>
      </w:tr>
      <w:tr>
        <w:tc>
          <w:tcPr>
            <w:tcW w:type="dxa" w:w="2160"/>
            <w:vAlign w:val="center"/>
          </w:tcPr>
          <w:p>
            <w:r>
              <w:t>Viewer</w:t>
            </w:r>
          </w:p>
        </w:tc>
        <w:tc>
          <w:tcPr>
            <w:tcW w:type="dxa" w:w="1728"/>
            <w:vAlign w:val="center"/>
          </w:tcPr>
          <w:p>
            <w:r>
              <w:t>Yes</w:t>
            </w:r>
          </w:p>
        </w:tc>
        <w:tc>
          <w:tcPr>
            <w:tcW w:type="dxa" w:w="1728"/>
            <w:vAlign w:val="center"/>
          </w:tcPr>
          <w:p>
            <w:r>
              <w:t>Optional</w:t>
            </w:r>
          </w:p>
        </w:tc>
        <w:tc>
          <w:tcPr>
            <w:tcW w:type="dxa" w:w="1728"/>
            <w:vAlign w:val="center"/>
          </w:tcPr>
          <w:p>
            <w:r>
              <w:t>No</w:t>
            </w:r>
          </w:p>
        </w:tc>
        <w:tc>
          <w:tcPr>
            <w:tcW w:type="dxa" w:w="1728"/>
            <w:vAlign w:val="center"/>
          </w:tcPr>
          <w:p>
            <w:r>
              <w:t>No</w:t>
            </w:r>
          </w:p>
        </w:tc>
      </w:tr>
      <w:tr>
        <w:tc>
          <w:tcPr>
            <w:tcW w:type="dxa" w:w="2160"/>
            <w:vAlign w:val="center"/>
          </w:tcPr>
          <w:p>
            <w:r>
              <w:t>Operator</w:t>
            </w:r>
          </w:p>
        </w:tc>
        <w:tc>
          <w:tcPr>
            <w:tcW w:type="dxa" w:w="1728"/>
            <w:vAlign w:val="center"/>
          </w:tcPr>
          <w:p>
            <w:r>
              <w:t>Yes</w:t>
            </w:r>
          </w:p>
        </w:tc>
        <w:tc>
          <w:tcPr>
            <w:tcW w:type="dxa" w:w="1728"/>
            <w:vAlign w:val="center"/>
          </w:tcPr>
          <w:p>
            <w:r>
              <w:t>Yes</w:t>
            </w:r>
          </w:p>
        </w:tc>
        <w:tc>
          <w:tcPr>
            <w:tcW w:type="dxa" w:w="1728"/>
            <w:vAlign w:val="center"/>
          </w:tcPr>
          <w:p>
            <w:r>
              <w:t>Conditional</w:t>
            </w:r>
          </w:p>
        </w:tc>
        <w:tc>
          <w:tcPr>
            <w:tcW w:type="dxa" w:w="1728"/>
            <w:vAlign w:val="center"/>
          </w:tcPr>
          <w:p>
            <w:r>
              <w:t>Limited</w:t>
            </w:r>
          </w:p>
        </w:tc>
      </w:tr>
      <w:tr>
        <w:tc>
          <w:tcPr>
            <w:tcW w:type="dxa" w:w="2160"/>
            <w:vAlign w:val="center"/>
          </w:tcPr>
          <w:p>
            <w:r>
              <w:t>Admin</w:t>
            </w:r>
          </w:p>
        </w:tc>
        <w:tc>
          <w:tcPr>
            <w:tcW w:type="dxa" w:w="1728"/>
            <w:vAlign w:val="center"/>
          </w:tcPr>
          <w:p>
            <w:r>
              <w:t>Yes</w:t>
            </w:r>
          </w:p>
        </w:tc>
        <w:tc>
          <w:tcPr>
            <w:tcW w:type="dxa" w:w="1728"/>
            <w:vAlign w:val="center"/>
          </w:tcPr>
          <w:p>
            <w:r>
              <w:t>Yes</w:t>
            </w:r>
          </w:p>
        </w:tc>
        <w:tc>
          <w:tcPr>
            <w:tcW w:type="dxa" w:w="1728"/>
            <w:vAlign w:val="center"/>
          </w:tcPr>
          <w:p>
            <w:r>
              <w:t>Yes</w:t>
            </w:r>
          </w:p>
        </w:tc>
        <w:tc>
          <w:tcPr>
            <w:tcW w:type="dxa" w:w="1728"/>
            <w:vAlign w:val="center"/>
          </w:tcPr>
          <w:p>
            <w:r>
              <w:t>Yes</w:t>
            </w:r>
          </w:p>
        </w:tc>
      </w:tr>
      <w:tr>
        <w:tc>
          <w:tcPr>
            <w:tcW w:type="dxa" w:w="2160"/>
            <w:vAlign w:val="center"/>
          </w:tcPr>
          <w:p>
            <w:r>
              <w:t>Service account</w:t>
            </w:r>
          </w:p>
        </w:tc>
        <w:tc>
          <w:tcPr>
            <w:tcW w:type="dxa" w:w="1728"/>
            <w:vAlign w:val="center"/>
          </w:tcPr>
          <w:p>
            <w:r>
              <w:t>Scoped</w:t>
            </w:r>
          </w:p>
        </w:tc>
        <w:tc>
          <w:tcPr>
            <w:tcW w:type="dxa" w:w="1728"/>
            <w:vAlign w:val="center"/>
          </w:tcPr>
          <w:p>
            <w:r>
              <w:t>Scoped</w:t>
            </w:r>
          </w:p>
        </w:tc>
        <w:tc>
          <w:tcPr>
            <w:tcW w:type="dxa" w:w="1728"/>
            <w:vAlign w:val="center"/>
          </w:tcPr>
          <w:p>
            <w:r>
              <w:t>No human publication</w:t>
            </w:r>
          </w:p>
        </w:tc>
        <w:tc>
          <w:tcPr>
            <w:tcW w:type="dxa" w:w="1728"/>
            <w:vAlign w:val="center"/>
          </w:tcPr>
          <w:p>
            <w:r>
              <w:t>Scoped</w:t>
            </w:r>
          </w:p>
        </w:tc>
      </w:tr>
    </w:tbl>
    <w:p/>
    <w:p>
      <w:pPr>
        <w:pStyle w:val="Heading1"/>
      </w:pPr>
      <w:r>
        <w:t>5. Common Envelope and Metadata</w:t>
      </w:r>
    </w:p>
    <w:p>
      <w:pPr>
        <w:spacing w:after="120" w:line="276" w:lineRule="auto"/>
      </w:pPr>
      <w:r>
        <w:t>All successful responses should follow a common envelope so that clients can handle freshness, warnings, and traceability consistently.</w:t>
      </w:r>
    </w:p>
    <w:p>
      <w:pPr>
        <w:spacing w:after="120" w:line="276" w:lineRule="auto"/>
      </w:pPr>
      <w:r>
        <w:t>{ "meta": { "trace_id": "...", "api_version": "v1", "generated_at": "...", "warnings": [], "freshness": {"state": "healthy", "age_sec": 120} }, "data": { ... } }</w:t>
      </w:r>
    </w:p>
    <w:p>
      <w:pPr>
        <w:spacing w:after="120" w:line="276" w:lineRule="auto"/>
      </w:pPr>
      <w:r>
        <w:t>For collections, add pagination metadata. For asynchronous operations, return a job resource reference. For degraded states, use warnings and status fields inside data rather than silently omitting relevant context.</w:t>
      </w:r>
    </w:p>
    <w:p>
      <w:pPr>
        <w:pStyle w:val="Heading1"/>
      </w:pPr>
      <w:r>
        <w:t>6. Standard Types</w:t>
      </w:r>
    </w:p>
    <w:p>
      <w:pPr>
        <w:spacing w:after="120" w:line="276" w:lineRule="auto"/>
      </w:pPr>
      <w:r>
        <w:t>The following object families recur across the API surface and should retain stable names: RecommendationSummary, RecommendationDetail, DecisionStageDetail, EngineComparisonRow, ReplayNarrative, BacktestSummary, PaperPortfolioSummary, AlertSummary, IncidentDetail, ApprovalDecision, and TypedError.</w:t>
      </w:r>
    </w:p>
    <w:p>
      <w:pPr>
        <w:spacing w:after="120" w:line="276" w:lineRule="auto"/>
      </w:pPr>
      <w:r>
        <w:t>Where payloads differ by screen, preserve a shared core subset so clients can reuse rendering and avoid hidden semantic drift.</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592"/>
            <w:shd w:fill="D9EAF7"/>
            <w:vAlign w:val="center"/>
          </w:tcPr>
          <w:p>
            <w:r>
              <w:rPr>
                <w:b/>
              </w:rPr>
              <w:t>Type</w:t>
            </w:r>
          </w:p>
        </w:tc>
        <w:tc>
          <w:tcPr>
            <w:tcW w:type="dxa" w:w="6624"/>
            <w:shd w:fill="D9EAF7"/>
            <w:vAlign w:val="center"/>
          </w:tcPr>
          <w:p>
            <w:r>
              <w:rPr>
                <w:b/>
              </w:rPr>
              <w:t>Core fields</w:t>
            </w:r>
          </w:p>
        </w:tc>
      </w:tr>
      <w:tr>
        <w:tc>
          <w:tcPr>
            <w:tcW w:type="dxa" w:w="2592"/>
            <w:vAlign w:val="center"/>
          </w:tcPr>
          <w:p>
            <w:r>
              <w:t>RecommendationSummary</w:t>
            </w:r>
          </w:p>
        </w:tc>
        <w:tc>
          <w:tcPr>
            <w:tcW w:type="dxa" w:w="6624"/>
            <w:vAlign w:val="center"/>
          </w:tcPr>
          <w:p>
            <w:r>
              <w:t>recommendation_id, as_of, status, overall_confidence, top_changes, target_weights[]</w:t>
            </w:r>
          </w:p>
        </w:tc>
      </w:tr>
      <w:tr>
        <w:tc>
          <w:tcPr>
            <w:tcW w:type="dxa" w:w="2592"/>
            <w:vAlign w:val="center"/>
          </w:tcPr>
          <w:p>
            <w:r>
              <w:t>DecisionStageDetail</w:t>
            </w:r>
          </w:p>
        </w:tc>
        <w:tc>
          <w:tcPr>
            <w:tcW w:type="dxa" w:w="6624"/>
            <w:vAlign w:val="center"/>
          </w:tcPr>
          <w:p>
            <w:r>
              <w:t>stage_name, run_id, version_ref, summary, adjustments[], warnings[]</w:t>
            </w:r>
          </w:p>
        </w:tc>
      </w:tr>
      <w:tr>
        <w:tc>
          <w:tcPr>
            <w:tcW w:type="dxa" w:w="2592"/>
            <w:vAlign w:val="center"/>
          </w:tcPr>
          <w:p>
            <w:r>
              <w:t>EngineComparisonRow</w:t>
            </w:r>
          </w:p>
        </w:tc>
        <w:tc>
          <w:tcPr>
            <w:tcW w:type="dxa" w:w="6624"/>
            <w:vAlign w:val="center"/>
          </w:tcPr>
          <w:p>
            <w:r>
              <w:t>engine_id, stance, confidence, freshness_state, contribution_summary</w:t>
            </w:r>
          </w:p>
        </w:tc>
      </w:tr>
      <w:tr>
        <w:tc>
          <w:tcPr>
            <w:tcW w:type="dxa" w:w="2592"/>
            <w:vAlign w:val="center"/>
          </w:tcPr>
          <w:p>
            <w:r>
              <w:t>ReplayNarrative</w:t>
            </w:r>
          </w:p>
        </w:tc>
        <w:tc>
          <w:tcPr>
            <w:tcW w:type="dxa" w:w="6624"/>
            <w:vAlign w:val="center"/>
          </w:tcPr>
          <w:p>
            <w:r>
              <w:t>replay_id, recommendation_id, chronology[], stage_diffs[], evidence_refs[]</w:t>
            </w:r>
          </w:p>
        </w:tc>
      </w:tr>
      <w:tr>
        <w:tc>
          <w:tcPr>
            <w:tcW w:type="dxa" w:w="2592"/>
            <w:vAlign w:val="center"/>
          </w:tcPr>
          <w:p>
            <w:r>
              <w:t>TypedError</w:t>
            </w:r>
          </w:p>
        </w:tc>
        <w:tc>
          <w:tcPr>
            <w:tcW w:type="dxa" w:w="6624"/>
            <w:vAlign w:val="center"/>
          </w:tcPr>
          <w:p>
            <w:r>
              <w:t>code, category, message, retryable, object_ref, trace_id</w:t>
            </w:r>
          </w:p>
        </w:tc>
      </w:tr>
    </w:tbl>
    <w:p/>
    <w:p>
      <w:pPr>
        <w:pStyle w:val="Heading1"/>
      </w:pPr>
      <w:r>
        <w:t>7. Reference and Setup Endpoints</w:t>
      </w:r>
    </w:p>
    <w:p>
      <w:pPr>
        <w:spacing w:after="120" w:line="276" w:lineRule="auto"/>
      </w:pPr>
      <w:r>
        <w:t>These endpoints support the initial shell, filters, universes, watchlists, and settings selectors used across the product.</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1152"/>
            <w:shd w:fill="D9EAF7"/>
            <w:vAlign w:val="center"/>
          </w:tcPr>
          <w:p>
            <w:r>
              <w:rPr>
                <w:b/>
              </w:rPr>
              <w:t>Method</w:t>
            </w:r>
          </w:p>
        </w:tc>
        <w:tc>
          <w:tcPr>
            <w:tcW w:type="dxa" w:w="2880"/>
            <w:shd w:fill="D9EAF7"/>
            <w:vAlign w:val="center"/>
          </w:tcPr>
          <w:p>
            <w:r>
              <w:rPr>
                <w:b/>
              </w:rPr>
              <w:t>Path</w:t>
            </w:r>
          </w:p>
        </w:tc>
        <w:tc>
          <w:tcPr>
            <w:tcW w:type="dxa" w:w="2592"/>
            <w:shd w:fill="D9EAF7"/>
            <w:vAlign w:val="center"/>
          </w:tcPr>
          <w:p>
            <w:r>
              <w:rPr>
                <w:b/>
              </w:rPr>
              <w:t>Purpose</w:t>
            </w:r>
          </w:p>
        </w:tc>
        <w:tc>
          <w:tcPr>
            <w:tcW w:type="dxa" w:w="2880"/>
            <w:shd w:fill="D9EAF7"/>
            <w:vAlign w:val="center"/>
          </w:tcPr>
          <w:p>
            <w:r>
              <w:rPr>
                <w:b/>
              </w:rPr>
              <w:t>Notes</w:t>
            </w:r>
          </w:p>
        </w:tc>
      </w:tr>
      <w:tr>
        <w:tc>
          <w:tcPr>
            <w:tcW w:type="dxa" w:w="1152"/>
            <w:vAlign w:val="center"/>
          </w:tcPr>
          <w:p>
            <w:r>
              <w:t>GET</w:t>
            </w:r>
          </w:p>
        </w:tc>
        <w:tc>
          <w:tcPr>
            <w:tcW w:type="dxa" w:w="2880"/>
            <w:vAlign w:val="center"/>
          </w:tcPr>
          <w:p>
            <w:r>
              <w:t>/api/v1/reference/universes</w:t>
            </w:r>
          </w:p>
        </w:tc>
        <w:tc>
          <w:tcPr>
            <w:tcW w:type="dxa" w:w="2592"/>
            <w:vAlign w:val="center"/>
          </w:tcPr>
          <w:p>
            <w:r>
              <w:t>List available universes</w:t>
            </w:r>
          </w:p>
        </w:tc>
        <w:tc>
          <w:tcPr>
            <w:tcW w:type="dxa" w:w="2880"/>
            <w:vAlign w:val="center"/>
          </w:tcPr>
          <w:p>
            <w:r>
              <w:t>Supports status and scope filters</w:t>
            </w:r>
          </w:p>
        </w:tc>
      </w:tr>
      <w:tr>
        <w:tc>
          <w:tcPr>
            <w:tcW w:type="dxa" w:w="1152"/>
            <w:vAlign w:val="center"/>
          </w:tcPr>
          <w:p>
            <w:r>
              <w:t>GET</w:t>
            </w:r>
          </w:p>
        </w:tc>
        <w:tc>
          <w:tcPr>
            <w:tcW w:type="dxa" w:w="2880"/>
            <w:vAlign w:val="center"/>
          </w:tcPr>
          <w:p>
            <w:r>
              <w:t>/api/v1/reference/watchlists</w:t>
            </w:r>
          </w:p>
        </w:tc>
        <w:tc>
          <w:tcPr>
            <w:tcW w:type="dxa" w:w="2592"/>
            <w:vAlign w:val="center"/>
          </w:tcPr>
          <w:p>
            <w:r>
              <w:t>List user watchlists</w:t>
            </w:r>
          </w:p>
        </w:tc>
        <w:tc>
          <w:tcPr>
            <w:tcW w:type="dxa" w:w="2880"/>
            <w:vAlign w:val="center"/>
          </w:tcPr>
          <w:p>
            <w:r>
              <w:t>May include counts and freshness</w:t>
            </w:r>
          </w:p>
        </w:tc>
      </w:tr>
      <w:tr>
        <w:tc>
          <w:tcPr>
            <w:tcW w:type="dxa" w:w="1152"/>
            <w:vAlign w:val="center"/>
          </w:tcPr>
          <w:p>
            <w:r>
              <w:t>GET</w:t>
            </w:r>
          </w:p>
        </w:tc>
        <w:tc>
          <w:tcPr>
            <w:tcW w:type="dxa" w:w="2880"/>
            <w:vAlign w:val="center"/>
          </w:tcPr>
          <w:p>
            <w:r>
              <w:t>/api/v1/reference/benchmarks</w:t>
            </w:r>
          </w:p>
        </w:tc>
        <w:tc>
          <w:tcPr>
            <w:tcW w:type="dxa" w:w="2592"/>
            <w:vAlign w:val="center"/>
          </w:tcPr>
          <w:p>
            <w:r>
              <w:t>List benchmarks</w:t>
            </w:r>
          </w:p>
        </w:tc>
        <w:tc>
          <w:tcPr>
            <w:tcW w:type="dxa" w:w="2880"/>
            <w:vAlign w:val="center"/>
          </w:tcPr>
          <w:p>
            <w:r>
              <w:t>For backtests and paper</w:t>
            </w:r>
          </w:p>
        </w:tc>
      </w:tr>
      <w:tr>
        <w:tc>
          <w:tcPr>
            <w:tcW w:type="dxa" w:w="1152"/>
            <w:vAlign w:val="center"/>
          </w:tcPr>
          <w:p>
            <w:r>
              <w:t>GET</w:t>
            </w:r>
          </w:p>
        </w:tc>
        <w:tc>
          <w:tcPr>
            <w:tcW w:type="dxa" w:w="2880"/>
            <w:vAlign w:val="center"/>
          </w:tcPr>
          <w:p>
            <w:r>
              <w:t>/api/v1/reference/assets/search</w:t>
            </w:r>
          </w:p>
        </w:tc>
        <w:tc>
          <w:tcPr>
            <w:tcW w:type="dxa" w:w="2592"/>
            <w:vAlign w:val="center"/>
          </w:tcPr>
          <w:p>
            <w:r>
              <w:t>Search instruments</w:t>
            </w:r>
          </w:p>
        </w:tc>
        <w:tc>
          <w:tcPr>
            <w:tcW w:type="dxa" w:w="2880"/>
            <w:vAlign w:val="center"/>
          </w:tcPr>
          <w:p>
            <w:r>
              <w:t>Supports ticker and name query</w:t>
            </w:r>
          </w:p>
        </w:tc>
      </w:tr>
      <w:tr>
        <w:tc>
          <w:tcPr>
            <w:tcW w:type="dxa" w:w="1152"/>
            <w:vAlign w:val="center"/>
          </w:tcPr>
          <w:p>
            <w:r>
              <w:t>GET</w:t>
            </w:r>
          </w:p>
        </w:tc>
        <w:tc>
          <w:tcPr>
            <w:tcW w:type="dxa" w:w="2880"/>
            <w:vAlign w:val="center"/>
          </w:tcPr>
          <w:p>
            <w:r>
              <w:t>/api/v1/settings/current</w:t>
            </w:r>
          </w:p>
        </w:tc>
        <w:tc>
          <w:tcPr>
            <w:tcW w:type="dxa" w:w="2592"/>
            <w:vAlign w:val="center"/>
          </w:tcPr>
          <w:p>
            <w:r>
              <w:t>Load saved user settings</w:t>
            </w:r>
          </w:p>
        </w:tc>
        <w:tc>
          <w:tcPr>
            <w:tcW w:type="dxa" w:w="2880"/>
            <w:vAlign w:val="center"/>
          </w:tcPr>
          <w:p>
            <w:r>
              <w:t>Includes preferred horizon and display rules</w:t>
            </w:r>
          </w:p>
        </w:tc>
      </w:tr>
      <w:tr>
        <w:tc>
          <w:tcPr>
            <w:tcW w:type="dxa" w:w="1152"/>
            <w:vAlign w:val="center"/>
          </w:tcPr>
          <w:p>
            <w:r>
              <w:t>POST</w:t>
            </w:r>
          </w:p>
        </w:tc>
        <w:tc>
          <w:tcPr>
            <w:tcW w:type="dxa" w:w="2880"/>
            <w:vAlign w:val="center"/>
          </w:tcPr>
          <w:p>
            <w:r>
              <w:t>/api/v1/settings/current</w:t>
            </w:r>
          </w:p>
        </w:tc>
        <w:tc>
          <w:tcPr>
            <w:tcW w:type="dxa" w:w="2592"/>
            <w:vAlign w:val="center"/>
          </w:tcPr>
          <w:p>
            <w:r>
              <w:t>Update user settings</w:t>
            </w:r>
          </w:p>
        </w:tc>
        <w:tc>
          <w:tcPr>
            <w:tcW w:type="dxa" w:w="2880"/>
            <w:vAlign w:val="center"/>
          </w:tcPr>
          <w:p>
            <w:r>
              <w:t>Audit required for changed defaults</w:t>
            </w:r>
          </w:p>
        </w:tc>
      </w:tr>
    </w:tbl>
    <w:p/>
    <w:p>
      <w:pPr>
        <w:pStyle w:val="Heading1"/>
      </w:pPr>
      <w:r>
        <w:t>8. Overview and Current Recommendation Endpoints</w:t>
      </w:r>
    </w:p>
    <w:p>
      <w:pPr>
        <w:spacing w:after="120" w:line="276" w:lineRule="auto"/>
      </w:pPr>
      <w:r>
        <w:t>The overview surface answers the question: what is the recommendation right now, how healthy is it, and what changed? These routes must be fast and read-model oriented.</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1152"/>
            <w:shd w:fill="D9EAF7"/>
            <w:vAlign w:val="center"/>
          </w:tcPr>
          <w:p>
            <w:r>
              <w:rPr>
                <w:b/>
              </w:rPr>
              <w:t>Method</w:t>
            </w:r>
          </w:p>
        </w:tc>
        <w:tc>
          <w:tcPr>
            <w:tcW w:type="dxa" w:w="3168"/>
            <w:shd w:fill="D9EAF7"/>
            <w:vAlign w:val="center"/>
          </w:tcPr>
          <w:p>
            <w:r>
              <w:rPr>
                <w:b/>
              </w:rPr>
              <w:t>Path</w:t>
            </w:r>
          </w:p>
        </w:tc>
        <w:tc>
          <w:tcPr>
            <w:tcW w:type="dxa" w:w="2304"/>
            <w:shd w:fill="D9EAF7"/>
            <w:vAlign w:val="center"/>
          </w:tcPr>
          <w:p>
            <w:r>
              <w:rPr>
                <w:b/>
              </w:rPr>
              <w:t>Response</w:t>
            </w:r>
          </w:p>
        </w:tc>
        <w:tc>
          <w:tcPr>
            <w:tcW w:type="dxa" w:w="2880"/>
            <w:shd w:fill="D9EAF7"/>
            <w:vAlign w:val="center"/>
          </w:tcPr>
          <w:p>
            <w:r>
              <w:rPr>
                <w:b/>
              </w:rPr>
              <w:t>Behavior</w:t>
            </w:r>
          </w:p>
        </w:tc>
      </w:tr>
      <w:tr>
        <w:tc>
          <w:tcPr>
            <w:tcW w:type="dxa" w:w="1152"/>
            <w:vAlign w:val="center"/>
          </w:tcPr>
          <w:p>
            <w:r>
              <w:t>GET</w:t>
            </w:r>
          </w:p>
        </w:tc>
        <w:tc>
          <w:tcPr>
            <w:tcW w:type="dxa" w:w="3168"/>
            <w:vAlign w:val="center"/>
          </w:tcPr>
          <w:p>
            <w:r>
              <w:t>/api/v1/overview</w:t>
            </w:r>
          </w:p>
        </w:tc>
        <w:tc>
          <w:tcPr>
            <w:tcW w:type="dxa" w:w="2304"/>
            <w:vAlign w:val="center"/>
          </w:tcPr>
          <w:p>
            <w:r>
              <w:t>OverviewSnapshot</w:t>
            </w:r>
          </w:p>
        </w:tc>
        <w:tc>
          <w:tcPr>
            <w:tcW w:type="dxa" w:w="2880"/>
            <w:vAlign w:val="center"/>
          </w:tcPr>
          <w:p>
            <w:r>
              <w:t>Primary home screen payload</w:t>
            </w:r>
          </w:p>
        </w:tc>
      </w:tr>
      <w:tr>
        <w:tc>
          <w:tcPr>
            <w:tcW w:type="dxa" w:w="1152"/>
            <w:vAlign w:val="center"/>
          </w:tcPr>
          <w:p>
            <w:r>
              <w:t>GET</w:t>
            </w:r>
          </w:p>
        </w:tc>
        <w:tc>
          <w:tcPr>
            <w:tcW w:type="dxa" w:w="3168"/>
            <w:vAlign w:val="center"/>
          </w:tcPr>
          <w:p>
            <w:r>
              <w:t>/api/v1/recommendations/current</w:t>
            </w:r>
          </w:p>
        </w:tc>
        <w:tc>
          <w:tcPr>
            <w:tcW w:type="dxa" w:w="2304"/>
            <w:vAlign w:val="center"/>
          </w:tcPr>
          <w:p>
            <w:r>
              <w:t>RecommendationDetail</w:t>
            </w:r>
          </w:p>
        </w:tc>
        <w:tc>
          <w:tcPr>
            <w:tcW w:type="dxa" w:w="2880"/>
            <w:vAlign w:val="center"/>
          </w:tcPr>
          <w:p>
            <w:r>
              <w:t>Returns the latest published or staged recommendation for the selected context</w:t>
            </w:r>
          </w:p>
        </w:tc>
      </w:tr>
      <w:tr>
        <w:tc>
          <w:tcPr>
            <w:tcW w:type="dxa" w:w="1152"/>
            <w:vAlign w:val="center"/>
          </w:tcPr>
          <w:p>
            <w:r>
              <w:t>GET</w:t>
            </w:r>
          </w:p>
        </w:tc>
        <w:tc>
          <w:tcPr>
            <w:tcW w:type="dxa" w:w="3168"/>
            <w:vAlign w:val="center"/>
          </w:tcPr>
          <w:p>
            <w:r>
              <w:t>/api/v1/recommendations/{id}</w:t>
            </w:r>
          </w:p>
        </w:tc>
        <w:tc>
          <w:tcPr>
            <w:tcW w:type="dxa" w:w="2304"/>
            <w:vAlign w:val="center"/>
          </w:tcPr>
          <w:p>
            <w:r>
              <w:t>RecommendationDetail</w:t>
            </w:r>
          </w:p>
        </w:tc>
        <w:tc>
          <w:tcPr>
            <w:tcW w:type="dxa" w:w="2880"/>
            <w:vAlign w:val="center"/>
          </w:tcPr>
          <w:p>
            <w:r>
              <w:t>Historical detail by stable id</w:t>
            </w:r>
          </w:p>
        </w:tc>
      </w:tr>
      <w:tr>
        <w:tc>
          <w:tcPr>
            <w:tcW w:type="dxa" w:w="1152"/>
            <w:vAlign w:val="center"/>
          </w:tcPr>
          <w:p>
            <w:r>
              <w:t>GET</w:t>
            </w:r>
          </w:p>
        </w:tc>
        <w:tc>
          <w:tcPr>
            <w:tcW w:type="dxa" w:w="3168"/>
            <w:vAlign w:val="center"/>
          </w:tcPr>
          <w:p>
            <w:r>
              <w:t>/api/v1/recommendations/{id}/diff</w:t>
            </w:r>
          </w:p>
        </w:tc>
        <w:tc>
          <w:tcPr>
            <w:tcW w:type="dxa" w:w="2304"/>
            <w:vAlign w:val="center"/>
          </w:tcPr>
          <w:p>
            <w:r>
              <w:t>RecommendationDiff</w:t>
            </w:r>
          </w:p>
        </w:tc>
        <w:tc>
          <w:tcPr>
            <w:tcW w:type="dxa" w:w="2880"/>
            <w:vAlign w:val="center"/>
          </w:tcPr>
          <w:p>
            <w:r>
              <w:t>Changes vs previous recommendation</w:t>
            </w:r>
          </w:p>
        </w:tc>
      </w:tr>
      <w:tr>
        <w:tc>
          <w:tcPr>
            <w:tcW w:type="dxa" w:w="1152"/>
            <w:vAlign w:val="center"/>
          </w:tcPr>
          <w:p>
            <w:r>
              <w:t>GET</w:t>
            </w:r>
          </w:p>
        </w:tc>
        <w:tc>
          <w:tcPr>
            <w:tcW w:type="dxa" w:w="3168"/>
            <w:vAlign w:val="center"/>
          </w:tcPr>
          <w:p>
            <w:r>
              <w:t>/api/v1/recommendations/{id}/weights</w:t>
            </w:r>
          </w:p>
        </w:tc>
        <w:tc>
          <w:tcPr>
            <w:tcW w:type="dxa" w:w="2304"/>
            <w:vAlign w:val="center"/>
          </w:tcPr>
          <w:p>
            <w:r>
              <w:t>RecommendationWeights</w:t>
            </w:r>
          </w:p>
        </w:tc>
        <w:tc>
          <w:tcPr>
            <w:tcW w:type="dxa" w:w="2880"/>
            <w:vAlign w:val="center"/>
          </w:tcPr>
          <w:p>
            <w:r>
              <w:t>Portfolio table plus change metrics</w:t>
            </w:r>
          </w:p>
        </w:tc>
      </w:tr>
    </w:tbl>
    <w:p/>
    <w:p>
      <w:pPr>
        <w:spacing w:after="120" w:line="276" w:lineRule="auto"/>
      </w:pPr>
      <w:r>
        <w:t>RecommendationDetail should include the confidence decomposition, freshness state, top drivers, top warnings, links to decision-stage refs, and publication metadata so the client does not need to make multiple calls for a normal detail view.</w:t>
      </w:r>
    </w:p>
    <w:p>
      <w:pPr>
        <w:pStyle w:val="Heading1"/>
      </w:pPr>
      <w:r>
        <w:t>9. Decision Breakdown Endpoints</w:t>
      </w:r>
    </w:p>
    <w:p>
      <w:pPr>
        <w:spacing w:after="120" w:line="276" w:lineRule="auto"/>
      </w:pPr>
      <w:r>
        <w:t>These endpoints power the main dashboard and drill-down experiences for selection, allocation, timing, and risk overlay.</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1152"/>
            <w:shd w:fill="D9EAF7"/>
            <w:vAlign w:val="center"/>
          </w:tcPr>
          <w:p>
            <w:r>
              <w:rPr>
                <w:b/>
              </w:rPr>
              <w:t>Method</w:t>
            </w:r>
          </w:p>
        </w:tc>
        <w:tc>
          <w:tcPr>
            <w:tcW w:type="dxa" w:w="3024"/>
            <w:shd w:fill="D9EAF7"/>
            <w:vAlign w:val="center"/>
          </w:tcPr>
          <w:p>
            <w:r>
              <w:rPr>
                <w:b/>
              </w:rPr>
              <w:t>Path</w:t>
            </w:r>
          </w:p>
        </w:tc>
        <w:tc>
          <w:tcPr>
            <w:tcW w:type="dxa" w:w="2880"/>
            <w:shd w:fill="D9EAF7"/>
            <w:vAlign w:val="center"/>
          </w:tcPr>
          <w:p>
            <w:r>
              <w:rPr>
                <w:b/>
              </w:rPr>
              <w:t>Purpose</w:t>
            </w:r>
          </w:p>
        </w:tc>
        <w:tc>
          <w:tcPr>
            <w:tcW w:type="dxa" w:w="2448"/>
            <w:shd w:fill="D9EAF7"/>
            <w:vAlign w:val="center"/>
          </w:tcPr>
          <w:p>
            <w:r>
              <w:rPr>
                <w:b/>
              </w:rPr>
              <w:t>Key query params</w:t>
            </w:r>
          </w:p>
        </w:tc>
      </w:tr>
      <w:tr>
        <w:tc>
          <w:tcPr>
            <w:tcW w:type="dxa" w:w="1152"/>
            <w:vAlign w:val="center"/>
          </w:tcPr>
          <w:p>
            <w:r>
              <w:t>GET</w:t>
            </w:r>
          </w:p>
        </w:tc>
        <w:tc>
          <w:tcPr>
            <w:tcW w:type="dxa" w:w="3024"/>
            <w:vAlign w:val="center"/>
          </w:tcPr>
          <w:p>
            <w:r>
              <w:t>/api/v1/recommendations/{id}/decision-breakdown</w:t>
            </w:r>
          </w:p>
        </w:tc>
        <w:tc>
          <w:tcPr>
            <w:tcW w:type="dxa" w:w="2880"/>
            <w:vAlign w:val="center"/>
          </w:tcPr>
          <w:p>
            <w:r>
              <w:t>Compact breakdown across all stages</w:t>
            </w:r>
          </w:p>
        </w:tc>
        <w:tc>
          <w:tcPr>
            <w:tcW w:type="dxa" w:w="2448"/>
            <w:vAlign w:val="center"/>
          </w:tcPr>
          <w:p>
            <w:r>
              <w:t>stage_filter, include_rationales</w:t>
            </w:r>
          </w:p>
        </w:tc>
      </w:tr>
      <w:tr>
        <w:tc>
          <w:tcPr>
            <w:tcW w:type="dxa" w:w="1152"/>
            <w:vAlign w:val="center"/>
          </w:tcPr>
          <w:p>
            <w:r>
              <w:t>GET</w:t>
            </w:r>
          </w:p>
        </w:tc>
        <w:tc>
          <w:tcPr>
            <w:tcW w:type="dxa" w:w="3024"/>
            <w:vAlign w:val="center"/>
          </w:tcPr>
          <w:p>
            <w:r>
              <w:t>/api/v1/selection-runs/{id}</w:t>
            </w:r>
          </w:p>
        </w:tc>
        <w:tc>
          <w:tcPr>
            <w:tcW w:type="dxa" w:w="2880"/>
            <w:vAlign w:val="center"/>
          </w:tcPr>
          <w:p>
            <w:r>
              <w:t>Selection detail and shortlist</w:t>
            </w:r>
          </w:p>
        </w:tc>
        <w:tc>
          <w:tcPr>
            <w:tcW w:type="dxa" w:w="2448"/>
            <w:vAlign w:val="center"/>
          </w:tcPr>
          <w:p>
            <w:r>
              <w:t>include_exclusions</w:t>
            </w:r>
          </w:p>
        </w:tc>
      </w:tr>
      <w:tr>
        <w:tc>
          <w:tcPr>
            <w:tcW w:type="dxa" w:w="1152"/>
            <w:vAlign w:val="center"/>
          </w:tcPr>
          <w:p>
            <w:r>
              <w:t>GET</w:t>
            </w:r>
          </w:p>
        </w:tc>
        <w:tc>
          <w:tcPr>
            <w:tcW w:type="dxa" w:w="3024"/>
            <w:vAlign w:val="center"/>
          </w:tcPr>
          <w:p>
            <w:r>
              <w:t>/api/v1/allocation-runs/{id}</w:t>
            </w:r>
          </w:p>
        </w:tc>
        <w:tc>
          <w:tcPr>
            <w:tcW w:type="dxa" w:w="2880"/>
            <w:vAlign w:val="center"/>
          </w:tcPr>
          <w:p>
            <w:r>
              <w:t>Pre-risk allocation detail</w:t>
            </w:r>
          </w:p>
        </w:tc>
        <w:tc>
          <w:tcPr>
            <w:tcW w:type="dxa" w:w="2448"/>
            <w:vAlign w:val="center"/>
          </w:tcPr>
          <w:p>
            <w:r>
              <w:t>include_contributors</w:t>
            </w:r>
          </w:p>
        </w:tc>
      </w:tr>
      <w:tr>
        <w:tc>
          <w:tcPr>
            <w:tcW w:type="dxa" w:w="1152"/>
            <w:vAlign w:val="center"/>
          </w:tcPr>
          <w:p>
            <w:r>
              <w:t>GET</w:t>
            </w:r>
          </w:p>
        </w:tc>
        <w:tc>
          <w:tcPr>
            <w:tcW w:type="dxa" w:w="3024"/>
            <w:vAlign w:val="center"/>
          </w:tcPr>
          <w:p>
            <w:r>
              <w:t>/api/v1/timing-runs/{id}</w:t>
            </w:r>
          </w:p>
        </w:tc>
        <w:tc>
          <w:tcPr>
            <w:tcW w:type="dxa" w:w="2880"/>
            <w:vAlign w:val="center"/>
          </w:tcPr>
          <w:p>
            <w:r>
              <w:t>Timing adjustments and posture</w:t>
            </w:r>
          </w:p>
        </w:tc>
        <w:tc>
          <w:tcPr>
            <w:tcW w:type="dxa" w:w="2448"/>
            <w:vAlign w:val="center"/>
          </w:tcPr>
          <w:p>
            <w:r>
              <w:t>include_rule_triggers</w:t>
            </w:r>
          </w:p>
        </w:tc>
      </w:tr>
      <w:tr>
        <w:tc>
          <w:tcPr>
            <w:tcW w:type="dxa" w:w="1152"/>
            <w:vAlign w:val="center"/>
          </w:tcPr>
          <w:p>
            <w:r>
              <w:t>GET</w:t>
            </w:r>
          </w:p>
        </w:tc>
        <w:tc>
          <w:tcPr>
            <w:tcW w:type="dxa" w:w="3024"/>
            <w:vAlign w:val="center"/>
          </w:tcPr>
          <w:p>
            <w:r>
              <w:t>/api/v1/risk-runs/{id}</w:t>
            </w:r>
          </w:p>
        </w:tc>
        <w:tc>
          <w:tcPr>
            <w:tcW w:type="dxa" w:w="2880"/>
            <w:vAlign w:val="center"/>
          </w:tcPr>
          <w:p>
            <w:r>
              <w:t>Risk overlay actions and caps</w:t>
            </w:r>
          </w:p>
        </w:tc>
        <w:tc>
          <w:tcPr>
            <w:tcW w:type="dxa" w:w="2448"/>
            <w:vAlign w:val="center"/>
          </w:tcPr>
          <w:p>
            <w:r>
              <w:t>include_before_after</w:t>
            </w:r>
          </w:p>
        </w:tc>
      </w:tr>
    </w:tbl>
    <w:p/>
    <w:p>
      <w:pPr>
        <w:pStyle w:val="Heading1"/>
      </w:pPr>
      <w:r>
        <w:t>10. Engine Comparison Endpoints</w:t>
      </w:r>
    </w:p>
    <w:p>
      <w:pPr>
        <w:spacing w:after="120" w:line="276" w:lineRule="auto"/>
      </w:pPr>
      <w:r>
        <w:t>The comparison surface should help the user understand agreement, conflict, and evidence asymmetry without exposing raw internal artifacts by default.</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1152"/>
            <w:shd w:fill="D9EAF7"/>
            <w:vAlign w:val="center"/>
          </w:tcPr>
          <w:p>
            <w:r>
              <w:rPr>
                <w:b/>
              </w:rPr>
              <w:t>Method</w:t>
            </w:r>
          </w:p>
        </w:tc>
        <w:tc>
          <w:tcPr>
            <w:tcW w:type="dxa" w:w="2880"/>
            <w:shd w:fill="D9EAF7"/>
            <w:vAlign w:val="center"/>
          </w:tcPr>
          <w:p>
            <w:r>
              <w:rPr>
                <w:b/>
              </w:rPr>
              <w:t>Path</w:t>
            </w:r>
          </w:p>
        </w:tc>
        <w:tc>
          <w:tcPr>
            <w:tcW w:type="dxa" w:w="2592"/>
            <w:shd w:fill="D9EAF7"/>
            <w:vAlign w:val="center"/>
          </w:tcPr>
          <w:p>
            <w:r>
              <w:rPr>
                <w:b/>
              </w:rPr>
              <w:t>Response</w:t>
            </w:r>
          </w:p>
        </w:tc>
        <w:tc>
          <w:tcPr>
            <w:tcW w:type="dxa" w:w="2880"/>
            <w:shd w:fill="D9EAF7"/>
            <w:vAlign w:val="center"/>
          </w:tcPr>
          <w:p>
            <w:r>
              <w:rPr>
                <w:b/>
              </w:rPr>
              <w:t>Notes</w:t>
            </w:r>
          </w:p>
        </w:tc>
      </w:tr>
      <w:tr>
        <w:tc>
          <w:tcPr>
            <w:tcW w:type="dxa" w:w="1152"/>
            <w:vAlign w:val="center"/>
          </w:tcPr>
          <w:p>
            <w:r>
              <w:t>GET</w:t>
            </w:r>
          </w:p>
        </w:tc>
        <w:tc>
          <w:tcPr>
            <w:tcW w:type="dxa" w:w="2880"/>
            <w:vAlign w:val="center"/>
          </w:tcPr>
          <w:p>
            <w:r>
              <w:t>/api/v1/recommendations/{id}/engines</w:t>
            </w:r>
          </w:p>
        </w:tc>
        <w:tc>
          <w:tcPr>
            <w:tcW w:type="dxa" w:w="2592"/>
            <w:vAlign w:val="center"/>
          </w:tcPr>
          <w:p>
            <w:r>
              <w:t>EngineComparisonList</w:t>
            </w:r>
          </w:p>
        </w:tc>
        <w:tc>
          <w:tcPr>
            <w:tcW w:type="dxa" w:w="2880"/>
            <w:vAlign w:val="center"/>
          </w:tcPr>
          <w:p>
            <w:r>
              <w:t>Matrix-oriented summary for the current recommendation</w:t>
            </w:r>
          </w:p>
        </w:tc>
      </w:tr>
      <w:tr>
        <w:tc>
          <w:tcPr>
            <w:tcW w:type="dxa" w:w="1152"/>
            <w:vAlign w:val="center"/>
          </w:tcPr>
          <w:p>
            <w:r>
              <w:t>GET</w:t>
            </w:r>
          </w:p>
        </w:tc>
        <w:tc>
          <w:tcPr>
            <w:tcW w:type="dxa" w:w="2880"/>
            <w:vAlign w:val="center"/>
          </w:tcPr>
          <w:p>
            <w:r>
              <w:t>/api/v1/engine-runs/{id}</w:t>
            </w:r>
          </w:p>
        </w:tc>
        <w:tc>
          <w:tcPr>
            <w:tcW w:type="dxa" w:w="2592"/>
            <w:vAlign w:val="center"/>
          </w:tcPr>
          <w:p>
            <w:r>
              <w:t>EngineRunDetail</w:t>
            </w:r>
          </w:p>
        </w:tc>
        <w:tc>
          <w:tcPr>
            <w:tcW w:type="dxa" w:w="2880"/>
            <w:vAlign w:val="center"/>
          </w:tcPr>
          <w:p>
            <w:r>
              <w:t>Deep detail for one engine run</w:t>
            </w:r>
          </w:p>
        </w:tc>
      </w:tr>
      <w:tr>
        <w:tc>
          <w:tcPr>
            <w:tcW w:type="dxa" w:w="1152"/>
            <w:vAlign w:val="center"/>
          </w:tcPr>
          <w:p>
            <w:r>
              <w:t>GET</w:t>
            </w:r>
          </w:p>
        </w:tc>
        <w:tc>
          <w:tcPr>
            <w:tcW w:type="dxa" w:w="2880"/>
            <w:vAlign w:val="center"/>
          </w:tcPr>
          <w:p>
            <w:r>
              <w:t>/api/v1/engines/status</w:t>
            </w:r>
          </w:p>
        </w:tc>
        <w:tc>
          <w:tcPr>
            <w:tcW w:type="dxa" w:w="2592"/>
            <w:vAlign w:val="center"/>
          </w:tcPr>
          <w:p>
            <w:r>
              <w:t>EngineStatusList</w:t>
            </w:r>
          </w:p>
        </w:tc>
        <w:tc>
          <w:tcPr>
            <w:tcW w:type="dxa" w:w="2880"/>
            <w:vAlign w:val="center"/>
          </w:tcPr>
          <w:p>
            <w:r>
              <w:t>Freshness, last success, and promoted version</w:t>
            </w:r>
          </w:p>
        </w:tc>
      </w:tr>
      <w:tr>
        <w:tc>
          <w:tcPr>
            <w:tcW w:type="dxa" w:w="1152"/>
            <w:vAlign w:val="center"/>
          </w:tcPr>
          <w:p>
            <w:r>
              <w:t>GET</w:t>
            </w:r>
          </w:p>
        </w:tc>
        <w:tc>
          <w:tcPr>
            <w:tcW w:type="dxa" w:w="2880"/>
            <w:vAlign w:val="center"/>
          </w:tcPr>
          <w:p>
            <w:r>
              <w:t>/api/v1/engines/{engine_id}/history</w:t>
            </w:r>
          </w:p>
        </w:tc>
        <w:tc>
          <w:tcPr>
            <w:tcW w:type="dxa" w:w="2592"/>
            <w:vAlign w:val="center"/>
          </w:tcPr>
          <w:p>
            <w:r>
              <w:t>EngineRunHistory</w:t>
            </w:r>
          </w:p>
        </w:tc>
        <w:tc>
          <w:tcPr>
            <w:tcW w:type="dxa" w:w="2880"/>
            <w:vAlign w:val="center"/>
          </w:tcPr>
          <w:p>
            <w:r>
              <w:t>Recent history for diagnostics</w:t>
            </w:r>
          </w:p>
        </w:tc>
      </w:tr>
    </w:tbl>
    <w:p/>
    <w:p>
      <w:pPr>
        <w:pStyle w:val="Heading1"/>
      </w:pPr>
      <w:r>
        <w:t>11. Scenario Simulation Endpoints</w:t>
      </w:r>
    </w:p>
    <w:p>
      <w:pPr>
        <w:spacing w:after="120" w:line="276" w:lineRule="auto"/>
      </w:pPr>
      <w:r>
        <w:t>Scenario endpoints allow the user or operator to explore what-if changes without publishing them as the current recommendation. Every response must state clearly that the output is simulated and temporary.</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1152"/>
            <w:shd w:fill="D9EAF7"/>
            <w:vAlign w:val="center"/>
          </w:tcPr>
          <w:p>
            <w:r>
              <w:rPr>
                <w:b/>
              </w:rPr>
              <w:t>Method</w:t>
            </w:r>
          </w:p>
        </w:tc>
        <w:tc>
          <w:tcPr>
            <w:tcW w:type="dxa" w:w="2736"/>
            <w:shd w:fill="D9EAF7"/>
            <w:vAlign w:val="center"/>
          </w:tcPr>
          <w:p>
            <w:r>
              <w:rPr>
                <w:b/>
              </w:rPr>
              <w:t>Path</w:t>
            </w:r>
          </w:p>
        </w:tc>
        <w:tc>
          <w:tcPr>
            <w:tcW w:type="dxa" w:w="2592"/>
            <w:shd w:fill="D9EAF7"/>
            <w:vAlign w:val="center"/>
          </w:tcPr>
          <w:p>
            <w:r>
              <w:rPr>
                <w:b/>
              </w:rPr>
              <w:t>Purpose</w:t>
            </w:r>
          </w:p>
        </w:tc>
        <w:tc>
          <w:tcPr>
            <w:tcW w:type="dxa" w:w="2880"/>
            <w:shd w:fill="D9EAF7"/>
            <w:vAlign w:val="center"/>
          </w:tcPr>
          <w:p>
            <w:r>
              <w:rPr>
                <w:b/>
              </w:rPr>
              <w:t>Required request fields</w:t>
            </w:r>
          </w:p>
        </w:tc>
      </w:tr>
      <w:tr>
        <w:tc>
          <w:tcPr>
            <w:tcW w:type="dxa" w:w="1152"/>
            <w:vAlign w:val="center"/>
          </w:tcPr>
          <w:p>
            <w:r>
              <w:t>POST</w:t>
            </w:r>
          </w:p>
        </w:tc>
        <w:tc>
          <w:tcPr>
            <w:tcW w:type="dxa" w:w="2736"/>
            <w:vAlign w:val="center"/>
          </w:tcPr>
          <w:p>
            <w:r>
              <w:t>/api/v1/scenarios/simulate</w:t>
            </w:r>
          </w:p>
        </w:tc>
        <w:tc>
          <w:tcPr>
            <w:tcW w:type="dxa" w:w="2592"/>
            <w:vAlign w:val="center"/>
          </w:tcPr>
          <w:p>
            <w:r>
              <w:t>Run temporary scenario</w:t>
            </w:r>
          </w:p>
        </w:tc>
        <w:tc>
          <w:tcPr>
            <w:tcW w:type="dxa" w:w="2880"/>
            <w:vAlign w:val="center"/>
          </w:tcPr>
          <w:p>
            <w:r>
              <w:t>context, scenario_overrides, requested_stages</w:t>
            </w:r>
          </w:p>
        </w:tc>
      </w:tr>
      <w:tr>
        <w:tc>
          <w:tcPr>
            <w:tcW w:type="dxa" w:w="1152"/>
            <w:vAlign w:val="center"/>
          </w:tcPr>
          <w:p>
            <w:r>
              <w:t>GET</w:t>
            </w:r>
          </w:p>
        </w:tc>
        <w:tc>
          <w:tcPr>
            <w:tcW w:type="dxa" w:w="2736"/>
            <w:vAlign w:val="center"/>
          </w:tcPr>
          <w:p>
            <w:r>
              <w:t>/api/v1/scenarios/{id}</w:t>
            </w:r>
          </w:p>
        </w:tc>
        <w:tc>
          <w:tcPr>
            <w:tcW w:type="dxa" w:w="2592"/>
            <w:vAlign w:val="center"/>
          </w:tcPr>
          <w:p>
            <w:r>
              <w:t>Fetch stored scenario result</w:t>
            </w:r>
          </w:p>
        </w:tc>
        <w:tc>
          <w:tcPr>
            <w:tcW w:type="dxa" w:w="2880"/>
            <w:vAlign w:val="center"/>
          </w:tcPr>
          <w:p>
            <w:r>
              <w:t>none</w:t>
            </w:r>
          </w:p>
        </w:tc>
      </w:tr>
      <w:tr>
        <w:tc>
          <w:tcPr>
            <w:tcW w:type="dxa" w:w="1152"/>
            <w:vAlign w:val="center"/>
          </w:tcPr>
          <w:p>
            <w:r>
              <w:t>POST</w:t>
            </w:r>
          </w:p>
        </w:tc>
        <w:tc>
          <w:tcPr>
            <w:tcW w:type="dxa" w:w="2736"/>
            <w:vAlign w:val="center"/>
          </w:tcPr>
          <w:p>
            <w:r>
              <w:t>/api/v1/scenarios/{id}/pin</w:t>
            </w:r>
          </w:p>
        </w:tc>
        <w:tc>
          <w:tcPr>
            <w:tcW w:type="dxa" w:w="2592"/>
            <w:vAlign w:val="center"/>
          </w:tcPr>
          <w:p>
            <w:r>
              <w:t>Persist scenario preset</w:t>
            </w:r>
          </w:p>
        </w:tc>
        <w:tc>
          <w:tcPr>
            <w:tcW w:type="dxa" w:w="2880"/>
            <w:vAlign w:val="center"/>
          </w:tcPr>
          <w:p>
            <w:r>
              <w:t>name, notes</w:t>
            </w:r>
          </w:p>
        </w:tc>
      </w:tr>
    </w:tbl>
    <w:p/>
    <w:p>
      <w:pPr>
        <w:spacing w:after="120" w:line="276" w:lineRule="auto"/>
      </w:pPr>
      <w:r>
        <w:t>A scenario result should include scenario_id, base_recommendation_id if any, simulated stage outputs, simulated target weights, deltas vs current recommendation, warnings, and an explicit `is_published = false` marker.</w:t>
      </w:r>
    </w:p>
    <w:p>
      <w:pPr>
        <w:pStyle w:val="Heading1"/>
      </w:pPr>
      <w:r>
        <w:t>12. Replay and Forensics Endpoints</w:t>
      </w:r>
    </w:p>
    <w:p>
      <w:pPr>
        <w:spacing w:after="120" w:line="276" w:lineRule="auto"/>
      </w:pPr>
      <w:r>
        <w:t>Replay endpoints should reconstruct one historical recommendation end-to-end. They are read-only but high value for trust and learning.</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152"/>
            <w:shd w:fill="D9EAF7"/>
            <w:vAlign w:val="center"/>
          </w:tcPr>
          <w:p>
            <w:r>
              <w:rPr>
                <w:b/>
              </w:rPr>
              <w:t>Method</w:t>
            </w:r>
          </w:p>
        </w:tc>
        <w:tc>
          <w:tcPr>
            <w:tcW w:type="dxa" w:w="3312"/>
            <w:shd w:fill="D9EAF7"/>
            <w:vAlign w:val="center"/>
          </w:tcPr>
          <w:p>
            <w:r>
              <w:rPr>
                <w:b/>
              </w:rPr>
              <w:t>Path</w:t>
            </w:r>
          </w:p>
        </w:tc>
        <w:tc>
          <w:tcPr>
            <w:tcW w:type="dxa" w:w="4608"/>
            <w:shd w:fill="D9EAF7"/>
            <w:vAlign w:val="center"/>
          </w:tcPr>
          <w:p>
            <w:r>
              <w:rPr>
                <w:b/>
              </w:rPr>
              <w:t>Purpose</w:t>
            </w:r>
          </w:p>
        </w:tc>
      </w:tr>
      <w:tr>
        <w:tc>
          <w:tcPr>
            <w:tcW w:type="dxa" w:w="1152"/>
            <w:vAlign w:val="center"/>
          </w:tcPr>
          <w:p>
            <w:r>
              <w:t>GET</w:t>
            </w:r>
          </w:p>
        </w:tc>
        <w:tc>
          <w:tcPr>
            <w:tcW w:type="dxa" w:w="3312"/>
            <w:vAlign w:val="center"/>
          </w:tcPr>
          <w:p>
            <w:r>
              <w:t>/api/v1/replays/{recommendation_id}</w:t>
            </w:r>
          </w:p>
        </w:tc>
        <w:tc>
          <w:tcPr>
            <w:tcW w:type="dxa" w:w="4608"/>
            <w:vAlign w:val="center"/>
          </w:tcPr>
          <w:p>
            <w:r>
              <w:t>Open or create replay narrative for a historical recommendation</w:t>
            </w:r>
          </w:p>
        </w:tc>
      </w:tr>
      <w:tr>
        <w:tc>
          <w:tcPr>
            <w:tcW w:type="dxa" w:w="1152"/>
            <w:vAlign w:val="center"/>
          </w:tcPr>
          <w:p>
            <w:r>
              <w:t>GET</w:t>
            </w:r>
          </w:p>
        </w:tc>
        <w:tc>
          <w:tcPr>
            <w:tcW w:type="dxa" w:w="3312"/>
            <w:vAlign w:val="center"/>
          </w:tcPr>
          <w:p>
            <w:r>
              <w:t>/api/v1/replays/{replay_id}/stages/{stage_name}</w:t>
            </w:r>
          </w:p>
        </w:tc>
        <w:tc>
          <w:tcPr>
            <w:tcW w:type="dxa" w:w="4608"/>
            <w:vAlign w:val="center"/>
          </w:tcPr>
          <w:p>
            <w:r>
              <w:t>Stage-specific replay drill-down</w:t>
            </w:r>
          </w:p>
        </w:tc>
      </w:tr>
      <w:tr>
        <w:tc>
          <w:tcPr>
            <w:tcW w:type="dxa" w:w="1152"/>
            <w:vAlign w:val="center"/>
          </w:tcPr>
          <w:p>
            <w:r>
              <w:t>GET</w:t>
            </w:r>
          </w:p>
        </w:tc>
        <w:tc>
          <w:tcPr>
            <w:tcW w:type="dxa" w:w="3312"/>
            <w:vAlign w:val="center"/>
          </w:tcPr>
          <w:p>
            <w:r>
              <w:t>/api/v1/replays/{replay_id}/evidence</w:t>
            </w:r>
          </w:p>
        </w:tc>
        <w:tc>
          <w:tcPr>
            <w:tcW w:type="dxa" w:w="4608"/>
            <w:vAlign w:val="center"/>
          </w:tcPr>
          <w:p>
            <w:r>
              <w:t>Evidence summary with source references and confidence</w:t>
            </w:r>
          </w:p>
        </w:tc>
      </w:tr>
      <w:tr>
        <w:tc>
          <w:tcPr>
            <w:tcW w:type="dxa" w:w="1152"/>
            <w:vAlign w:val="center"/>
          </w:tcPr>
          <w:p>
            <w:r>
              <w:t>GET</w:t>
            </w:r>
          </w:p>
        </w:tc>
        <w:tc>
          <w:tcPr>
            <w:tcW w:type="dxa" w:w="3312"/>
            <w:vAlign w:val="center"/>
          </w:tcPr>
          <w:p>
            <w:r>
              <w:t>/api/v1/replays/{replay_id}/changes</w:t>
            </w:r>
          </w:p>
        </w:tc>
        <w:tc>
          <w:tcPr>
            <w:tcW w:type="dxa" w:w="4608"/>
            <w:vAlign w:val="center"/>
          </w:tcPr>
          <w:p>
            <w:r>
              <w:t>What changed vs prior recommendation</w:t>
            </w:r>
          </w:p>
        </w:tc>
      </w:tr>
    </w:tbl>
    <w:p/>
    <w:p>
      <w:pPr>
        <w:pStyle w:val="Heading1"/>
      </w:pPr>
      <w:r>
        <w:t>13. Backtest and Validation Endpoints</w:t>
      </w:r>
    </w:p>
    <w:p>
      <w:pPr>
        <w:spacing w:after="120" w:line="276" w:lineRule="auto"/>
      </w:pPr>
      <w:r>
        <w:t>Validation endpoints are primarily admin or operator scoped. They must support job initiation, result retrieval, artifact listing, and promotion decisions.</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1152"/>
            <w:shd w:fill="D9EAF7"/>
            <w:vAlign w:val="center"/>
          </w:tcPr>
          <w:p>
            <w:r>
              <w:rPr>
                <w:b/>
              </w:rPr>
              <w:t>Method</w:t>
            </w:r>
          </w:p>
        </w:tc>
        <w:tc>
          <w:tcPr>
            <w:tcW w:type="dxa" w:w="2736"/>
            <w:shd w:fill="D9EAF7"/>
            <w:vAlign w:val="center"/>
          </w:tcPr>
          <w:p>
            <w:r>
              <w:rPr>
                <w:b/>
              </w:rPr>
              <w:t>Path</w:t>
            </w:r>
          </w:p>
        </w:tc>
        <w:tc>
          <w:tcPr>
            <w:tcW w:type="dxa" w:w="2736"/>
            <w:shd w:fill="D9EAF7"/>
            <w:vAlign w:val="center"/>
          </w:tcPr>
          <w:p>
            <w:r>
              <w:rPr>
                <w:b/>
              </w:rPr>
              <w:t>Purpose</w:t>
            </w:r>
          </w:p>
        </w:tc>
        <w:tc>
          <w:tcPr>
            <w:tcW w:type="dxa" w:w="3024"/>
            <w:shd w:fill="D9EAF7"/>
            <w:vAlign w:val="center"/>
          </w:tcPr>
          <w:p>
            <w:r>
              <w:rPr>
                <w:b/>
              </w:rPr>
              <w:t>Notes</w:t>
            </w:r>
          </w:p>
        </w:tc>
      </w:tr>
      <w:tr>
        <w:tc>
          <w:tcPr>
            <w:tcW w:type="dxa" w:w="1152"/>
            <w:vAlign w:val="center"/>
          </w:tcPr>
          <w:p>
            <w:r>
              <w:t>POST</w:t>
            </w:r>
          </w:p>
        </w:tc>
        <w:tc>
          <w:tcPr>
            <w:tcW w:type="dxa" w:w="2736"/>
            <w:vAlign w:val="center"/>
          </w:tcPr>
          <w:p>
            <w:r>
              <w:t>/api/v1/backtests/run</w:t>
            </w:r>
          </w:p>
        </w:tc>
        <w:tc>
          <w:tcPr>
            <w:tcW w:type="dxa" w:w="2736"/>
            <w:vAlign w:val="center"/>
          </w:tcPr>
          <w:p>
            <w:r>
              <w:t>Start backtest job</w:t>
            </w:r>
          </w:p>
        </w:tc>
        <w:tc>
          <w:tcPr>
            <w:tcW w:type="dxa" w:w="3024"/>
            <w:vAlign w:val="center"/>
          </w:tcPr>
          <w:p>
            <w:r>
              <w:t>Requires methodology and policy bundle references</w:t>
            </w:r>
          </w:p>
        </w:tc>
      </w:tr>
      <w:tr>
        <w:tc>
          <w:tcPr>
            <w:tcW w:type="dxa" w:w="1152"/>
            <w:vAlign w:val="center"/>
          </w:tcPr>
          <w:p>
            <w:r>
              <w:t>GET</w:t>
            </w:r>
          </w:p>
        </w:tc>
        <w:tc>
          <w:tcPr>
            <w:tcW w:type="dxa" w:w="2736"/>
            <w:vAlign w:val="center"/>
          </w:tcPr>
          <w:p>
            <w:r>
              <w:t>/api/v1/backtests/{id}</w:t>
            </w:r>
          </w:p>
        </w:tc>
        <w:tc>
          <w:tcPr>
            <w:tcW w:type="dxa" w:w="2736"/>
            <w:vAlign w:val="center"/>
          </w:tcPr>
          <w:p>
            <w:r>
              <w:t>Read backtest summary</w:t>
            </w:r>
          </w:p>
        </w:tc>
        <w:tc>
          <w:tcPr>
            <w:tcW w:type="dxa" w:w="3024"/>
            <w:vAlign w:val="center"/>
          </w:tcPr>
          <w:p>
            <w:r>
              <w:t>High-level metrics and run status</w:t>
            </w:r>
          </w:p>
        </w:tc>
      </w:tr>
      <w:tr>
        <w:tc>
          <w:tcPr>
            <w:tcW w:type="dxa" w:w="1152"/>
            <w:vAlign w:val="center"/>
          </w:tcPr>
          <w:p>
            <w:r>
              <w:t>GET</w:t>
            </w:r>
          </w:p>
        </w:tc>
        <w:tc>
          <w:tcPr>
            <w:tcW w:type="dxa" w:w="2736"/>
            <w:vAlign w:val="center"/>
          </w:tcPr>
          <w:p>
            <w:r>
              <w:t>/api/v1/backtests/{id}/periods</w:t>
            </w:r>
          </w:p>
        </w:tc>
        <w:tc>
          <w:tcPr>
            <w:tcW w:type="dxa" w:w="2736"/>
            <w:vAlign w:val="center"/>
          </w:tcPr>
          <w:p>
            <w:r>
              <w:t>Read period-level results</w:t>
            </w:r>
          </w:p>
        </w:tc>
        <w:tc>
          <w:tcPr>
            <w:tcW w:type="dxa" w:w="3024"/>
            <w:vAlign w:val="center"/>
          </w:tcPr>
          <w:p>
            <w:r>
              <w:t>Supports pagination</w:t>
            </w:r>
          </w:p>
        </w:tc>
      </w:tr>
      <w:tr>
        <w:tc>
          <w:tcPr>
            <w:tcW w:type="dxa" w:w="1152"/>
            <w:vAlign w:val="center"/>
          </w:tcPr>
          <w:p>
            <w:r>
              <w:t>GET</w:t>
            </w:r>
          </w:p>
        </w:tc>
        <w:tc>
          <w:tcPr>
            <w:tcW w:type="dxa" w:w="2736"/>
            <w:vAlign w:val="center"/>
          </w:tcPr>
          <w:p>
            <w:r>
              <w:t>/api/v1/backtests/{id}/artifacts</w:t>
            </w:r>
          </w:p>
        </w:tc>
        <w:tc>
          <w:tcPr>
            <w:tcW w:type="dxa" w:w="2736"/>
            <w:vAlign w:val="center"/>
          </w:tcPr>
          <w:p>
            <w:r>
              <w:t>List generated artifacts</w:t>
            </w:r>
          </w:p>
        </w:tc>
        <w:tc>
          <w:tcPr>
            <w:tcW w:type="dxa" w:w="3024"/>
            <w:vAlign w:val="center"/>
          </w:tcPr>
          <w:p>
            <w:r>
              <w:t>Charts, reports, raw metrics exports</w:t>
            </w:r>
          </w:p>
        </w:tc>
      </w:tr>
      <w:tr>
        <w:tc>
          <w:tcPr>
            <w:tcW w:type="dxa" w:w="1152"/>
            <w:vAlign w:val="center"/>
          </w:tcPr>
          <w:p>
            <w:r>
              <w:t>POST</w:t>
            </w:r>
          </w:p>
        </w:tc>
        <w:tc>
          <w:tcPr>
            <w:tcW w:type="dxa" w:w="2736"/>
            <w:vAlign w:val="center"/>
          </w:tcPr>
          <w:p>
            <w:r>
              <w:t>/api/v1/backtests/{id}/promote-check</w:t>
            </w:r>
          </w:p>
        </w:tc>
        <w:tc>
          <w:tcPr>
            <w:tcW w:type="dxa" w:w="2736"/>
            <w:vAlign w:val="center"/>
          </w:tcPr>
          <w:p>
            <w:r>
              <w:t>Evaluate promotion gate</w:t>
            </w:r>
          </w:p>
        </w:tc>
        <w:tc>
          <w:tcPr>
            <w:tcW w:type="dxa" w:w="3024"/>
            <w:vAlign w:val="center"/>
          </w:tcPr>
          <w:p>
            <w:r>
              <w:t>Returns pass/fail and failed rules</w:t>
            </w:r>
          </w:p>
        </w:tc>
      </w:tr>
    </w:tbl>
    <w:p/>
    <w:p>
      <w:pPr>
        <w:pStyle w:val="Heading1"/>
      </w:pPr>
      <w:r>
        <w:t>14. Paper Portfolio Endpoints</w:t>
      </w:r>
    </w:p>
    <w:p>
      <w:pPr>
        <w:spacing w:after="120" w:line="276" w:lineRule="auto"/>
      </w:pPr>
      <w:r>
        <w:t>Paper endpoints track shadow performance and operational drift between the policy and simulated holding evolution.</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152"/>
            <w:shd w:fill="D9EAF7"/>
            <w:vAlign w:val="center"/>
          </w:tcPr>
          <w:p>
            <w:r>
              <w:rPr>
                <w:b/>
              </w:rPr>
              <w:t>Method</w:t>
            </w:r>
          </w:p>
        </w:tc>
        <w:tc>
          <w:tcPr>
            <w:tcW w:type="dxa" w:w="3168"/>
            <w:shd w:fill="D9EAF7"/>
            <w:vAlign w:val="center"/>
          </w:tcPr>
          <w:p>
            <w:r>
              <w:rPr>
                <w:b/>
              </w:rPr>
              <w:t>Path</w:t>
            </w:r>
          </w:p>
        </w:tc>
        <w:tc>
          <w:tcPr>
            <w:tcW w:type="dxa" w:w="4608"/>
            <w:shd w:fill="D9EAF7"/>
            <w:vAlign w:val="center"/>
          </w:tcPr>
          <w:p>
            <w:r>
              <w:rPr>
                <w:b/>
              </w:rPr>
              <w:t>Purpose</w:t>
            </w:r>
          </w:p>
        </w:tc>
      </w:tr>
      <w:tr>
        <w:tc>
          <w:tcPr>
            <w:tcW w:type="dxa" w:w="1152"/>
            <w:vAlign w:val="center"/>
          </w:tcPr>
          <w:p>
            <w:r>
              <w:t>GET</w:t>
            </w:r>
          </w:p>
        </w:tc>
        <w:tc>
          <w:tcPr>
            <w:tcW w:type="dxa" w:w="3168"/>
            <w:vAlign w:val="center"/>
          </w:tcPr>
          <w:p>
            <w:r>
              <w:t>/api/v1/paper/summary</w:t>
            </w:r>
          </w:p>
        </w:tc>
        <w:tc>
          <w:tcPr>
            <w:tcW w:type="dxa" w:w="4608"/>
            <w:vAlign w:val="center"/>
          </w:tcPr>
          <w:p>
            <w:r>
              <w:t>Paper portfolio home payload</w:t>
            </w:r>
          </w:p>
        </w:tc>
      </w:tr>
      <w:tr>
        <w:tc>
          <w:tcPr>
            <w:tcW w:type="dxa" w:w="1152"/>
            <w:vAlign w:val="center"/>
          </w:tcPr>
          <w:p>
            <w:r>
              <w:t>GET</w:t>
            </w:r>
          </w:p>
        </w:tc>
        <w:tc>
          <w:tcPr>
            <w:tcW w:type="dxa" w:w="3168"/>
            <w:vAlign w:val="center"/>
          </w:tcPr>
          <w:p>
            <w:r>
              <w:t>/api/v1/paper/rebalances</w:t>
            </w:r>
          </w:p>
        </w:tc>
        <w:tc>
          <w:tcPr>
            <w:tcW w:type="dxa" w:w="4608"/>
            <w:vAlign w:val="center"/>
          </w:tcPr>
          <w:p>
            <w:r>
              <w:t>Historical rebalances and reasons</w:t>
            </w:r>
          </w:p>
        </w:tc>
      </w:tr>
      <w:tr>
        <w:tc>
          <w:tcPr>
            <w:tcW w:type="dxa" w:w="1152"/>
            <w:vAlign w:val="center"/>
          </w:tcPr>
          <w:p>
            <w:r>
              <w:t>GET</w:t>
            </w:r>
          </w:p>
        </w:tc>
        <w:tc>
          <w:tcPr>
            <w:tcW w:type="dxa" w:w="3168"/>
            <w:vAlign w:val="center"/>
          </w:tcPr>
          <w:p>
            <w:r>
              <w:t>/api/v1/paper/holdings</w:t>
            </w:r>
          </w:p>
        </w:tc>
        <w:tc>
          <w:tcPr>
            <w:tcW w:type="dxa" w:w="4608"/>
            <w:vAlign w:val="center"/>
          </w:tcPr>
          <w:p>
            <w:r>
              <w:t>Current paper holdings</w:t>
            </w:r>
          </w:p>
        </w:tc>
      </w:tr>
      <w:tr>
        <w:tc>
          <w:tcPr>
            <w:tcW w:type="dxa" w:w="1152"/>
            <w:vAlign w:val="center"/>
          </w:tcPr>
          <w:p>
            <w:r>
              <w:t>GET</w:t>
            </w:r>
          </w:p>
        </w:tc>
        <w:tc>
          <w:tcPr>
            <w:tcW w:type="dxa" w:w="3168"/>
            <w:vAlign w:val="center"/>
          </w:tcPr>
          <w:p>
            <w:r>
              <w:t>/api/v1/paper/drift</w:t>
            </w:r>
          </w:p>
        </w:tc>
        <w:tc>
          <w:tcPr>
            <w:tcW w:type="dxa" w:w="4608"/>
            <w:vAlign w:val="center"/>
          </w:tcPr>
          <w:p>
            <w:r>
              <w:t>Drift and benchmark-relative state</w:t>
            </w:r>
          </w:p>
        </w:tc>
      </w:tr>
      <w:tr>
        <w:tc>
          <w:tcPr>
            <w:tcW w:type="dxa" w:w="1152"/>
            <w:vAlign w:val="center"/>
          </w:tcPr>
          <w:p>
            <w:r>
              <w:t>POST</w:t>
            </w:r>
          </w:p>
        </w:tc>
        <w:tc>
          <w:tcPr>
            <w:tcW w:type="dxa" w:w="3168"/>
            <w:vAlign w:val="center"/>
          </w:tcPr>
          <w:p>
            <w:r>
              <w:t>/api/v1/paper/rebalance-now</w:t>
            </w:r>
          </w:p>
        </w:tc>
        <w:tc>
          <w:tcPr>
            <w:tcW w:type="dxa" w:w="4608"/>
            <w:vAlign w:val="center"/>
          </w:tcPr>
          <w:p>
            <w:r>
              <w:t>Operator-triggered paper refresh</w:t>
            </w:r>
          </w:p>
        </w:tc>
      </w:tr>
    </w:tbl>
    <w:p/>
    <w:p>
      <w:pPr>
        <w:pStyle w:val="Heading1"/>
      </w:pPr>
      <w:r>
        <w:t>15. Admin and Ops Endpoints</w:t>
      </w:r>
    </w:p>
    <w:p>
      <w:pPr>
        <w:spacing w:after="120" w:line="276" w:lineRule="auto"/>
      </w:pPr>
      <w:r>
        <w:t>Admin endpoints provide the health and control plane needed to keep recommendation publication honest.</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1152"/>
            <w:shd w:fill="D9EAF7"/>
            <w:vAlign w:val="center"/>
          </w:tcPr>
          <w:p>
            <w:r>
              <w:rPr>
                <w:b/>
              </w:rPr>
              <w:t>Method</w:t>
            </w:r>
          </w:p>
        </w:tc>
        <w:tc>
          <w:tcPr>
            <w:tcW w:type="dxa" w:w="3024"/>
            <w:shd w:fill="D9EAF7"/>
            <w:vAlign w:val="center"/>
          </w:tcPr>
          <w:p>
            <w:r>
              <w:rPr>
                <w:b/>
              </w:rPr>
              <w:t>Path</w:t>
            </w:r>
          </w:p>
        </w:tc>
        <w:tc>
          <w:tcPr>
            <w:tcW w:type="dxa" w:w="2592"/>
            <w:shd w:fill="D9EAF7"/>
            <w:vAlign w:val="center"/>
          </w:tcPr>
          <w:p>
            <w:r>
              <w:rPr>
                <w:b/>
              </w:rPr>
              <w:t>Purpose</w:t>
            </w:r>
          </w:p>
        </w:tc>
        <w:tc>
          <w:tcPr>
            <w:tcW w:type="dxa" w:w="1584"/>
            <w:shd w:fill="D9EAF7"/>
            <w:vAlign w:val="center"/>
          </w:tcPr>
          <w:p>
            <w:r>
              <w:rPr>
                <w:b/>
              </w:rPr>
              <w:t>Privilege</w:t>
            </w:r>
          </w:p>
        </w:tc>
      </w:tr>
      <w:tr>
        <w:tc>
          <w:tcPr>
            <w:tcW w:type="dxa" w:w="1152"/>
            <w:vAlign w:val="center"/>
          </w:tcPr>
          <w:p>
            <w:r>
              <w:t>GET</w:t>
            </w:r>
          </w:p>
        </w:tc>
        <w:tc>
          <w:tcPr>
            <w:tcW w:type="dxa" w:w="3024"/>
            <w:vAlign w:val="center"/>
          </w:tcPr>
          <w:p>
            <w:r>
              <w:t>/api/v1/ops/health</w:t>
            </w:r>
          </w:p>
        </w:tc>
        <w:tc>
          <w:tcPr>
            <w:tcW w:type="dxa" w:w="2592"/>
            <w:vAlign w:val="center"/>
          </w:tcPr>
          <w:p>
            <w:r>
              <w:t>System health summary</w:t>
            </w:r>
          </w:p>
        </w:tc>
        <w:tc>
          <w:tcPr>
            <w:tcW w:type="dxa" w:w="1584"/>
            <w:vAlign w:val="center"/>
          </w:tcPr>
          <w:p>
            <w:r>
              <w:t>Operator</w:t>
            </w:r>
          </w:p>
        </w:tc>
      </w:tr>
      <w:tr>
        <w:tc>
          <w:tcPr>
            <w:tcW w:type="dxa" w:w="1152"/>
            <w:vAlign w:val="center"/>
          </w:tcPr>
          <w:p>
            <w:r>
              <w:t>GET</w:t>
            </w:r>
          </w:p>
        </w:tc>
        <w:tc>
          <w:tcPr>
            <w:tcW w:type="dxa" w:w="3024"/>
            <w:vAlign w:val="center"/>
          </w:tcPr>
          <w:p>
            <w:r>
              <w:t>/api/v1/ops/alerts</w:t>
            </w:r>
          </w:p>
        </w:tc>
        <w:tc>
          <w:tcPr>
            <w:tcW w:type="dxa" w:w="2592"/>
            <w:vAlign w:val="center"/>
          </w:tcPr>
          <w:p>
            <w:r>
              <w:t>List active and historical alerts</w:t>
            </w:r>
          </w:p>
        </w:tc>
        <w:tc>
          <w:tcPr>
            <w:tcW w:type="dxa" w:w="1584"/>
            <w:vAlign w:val="center"/>
          </w:tcPr>
          <w:p>
            <w:r>
              <w:t>Operator</w:t>
            </w:r>
          </w:p>
        </w:tc>
      </w:tr>
      <w:tr>
        <w:tc>
          <w:tcPr>
            <w:tcW w:type="dxa" w:w="1152"/>
            <w:vAlign w:val="center"/>
          </w:tcPr>
          <w:p>
            <w:r>
              <w:t>POST</w:t>
            </w:r>
          </w:p>
        </w:tc>
        <w:tc>
          <w:tcPr>
            <w:tcW w:type="dxa" w:w="3024"/>
            <w:vAlign w:val="center"/>
          </w:tcPr>
          <w:p>
            <w:r>
              <w:t>/api/v1/ops/alerts/{id}/acknowledge</w:t>
            </w:r>
          </w:p>
        </w:tc>
        <w:tc>
          <w:tcPr>
            <w:tcW w:type="dxa" w:w="2592"/>
            <w:vAlign w:val="center"/>
          </w:tcPr>
          <w:p>
            <w:r>
              <w:t>Acknowledge alert</w:t>
            </w:r>
          </w:p>
        </w:tc>
        <w:tc>
          <w:tcPr>
            <w:tcW w:type="dxa" w:w="1584"/>
            <w:vAlign w:val="center"/>
          </w:tcPr>
          <w:p>
            <w:r>
              <w:t>Operator</w:t>
            </w:r>
          </w:p>
        </w:tc>
      </w:tr>
      <w:tr>
        <w:tc>
          <w:tcPr>
            <w:tcW w:type="dxa" w:w="1152"/>
            <w:vAlign w:val="center"/>
          </w:tcPr>
          <w:p>
            <w:r>
              <w:t>GET</w:t>
            </w:r>
          </w:p>
        </w:tc>
        <w:tc>
          <w:tcPr>
            <w:tcW w:type="dxa" w:w="3024"/>
            <w:vAlign w:val="center"/>
          </w:tcPr>
          <w:p>
            <w:r>
              <w:t>/api/v1/ops/incidents/{id}</w:t>
            </w:r>
          </w:p>
        </w:tc>
        <w:tc>
          <w:tcPr>
            <w:tcW w:type="dxa" w:w="2592"/>
            <w:vAlign w:val="center"/>
          </w:tcPr>
          <w:p>
            <w:r>
              <w:t>Incident detail</w:t>
            </w:r>
          </w:p>
        </w:tc>
        <w:tc>
          <w:tcPr>
            <w:tcW w:type="dxa" w:w="1584"/>
            <w:vAlign w:val="center"/>
          </w:tcPr>
          <w:p>
            <w:r>
              <w:t>Operator</w:t>
            </w:r>
          </w:p>
        </w:tc>
      </w:tr>
      <w:tr>
        <w:tc>
          <w:tcPr>
            <w:tcW w:type="dxa" w:w="1152"/>
            <w:vAlign w:val="center"/>
          </w:tcPr>
          <w:p>
            <w:r>
              <w:t>POST</w:t>
            </w:r>
          </w:p>
        </w:tc>
        <w:tc>
          <w:tcPr>
            <w:tcW w:type="dxa" w:w="3024"/>
            <w:vAlign w:val="center"/>
          </w:tcPr>
          <w:p>
            <w:r>
              <w:t>/api/v1/ops/incidents</w:t>
            </w:r>
          </w:p>
        </w:tc>
        <w:tc>
          <w:tcPr>
            <w:tcW w:type="dxa" w:w="2592"/>
            <w:vAlign w:val="center"/>
          </w:tcPr>
          <w:p>
            <w:r>
              <w:t>Create incident</w:t>
            </w:r>
          </w:p>
        </w:tc>
        <w:tc>
          <w:tcPr>
            <w:tcW w:type="dxa" w:w="1584"/>
            <w:vAlign w:val="center"/>
          </w:tcPr>
          <w:p>
            <w:r>
              <w:t>Operator</w:t>
            </w:r>
          </w:p>
        </w:tc>
      </w:tr>
      <w:tr>
        <w:tc>
          <w:tcPr>
            <w:tcW w:type="dxa" w:w="1152"/>
            <w:vAlign w:val="center"/>
          </w:tcPr>
          <w:p>
            <w:r>
              <w:t>POST</w:t>
            </w:r>
          </w:p>
        </w:tc>
        <w:tc>
          <w:tcPr>
            <w:tcW w:type="dxa" w:w="3024"/>
            <w:vAlign w:val="center"/>
          </w:tcPr>
          <w:p>
            <w:r>
              <w:t>/api/v1/publication/{id}/approve</w:t>
            </w:r>
          </w:p>
        </w:tc>
        <w:tc>
          <w:tcPr>
            <w:tcW w:type="dxa" w:w="2592"/>
            <w:vAlign w:val="center"/>
          </w:tcPr>
          <w:p>
            <w:r>
              <w:t>Approve publication</w:t>
            </w:r>
          </w:p>
        </w:tc>
        <w:tc>
          <w:tcPr>
            <w:tcW w:type="dxa" w:w="1584"/>
            <w:vAlign w:val="center"/>
          </w:tcPr>
          <w:p>
            <w:r>
              <w:t>Admin</w:t>
            </w:r>
          </w:p>
        </w:tc>
      </w:tr>
      <w:tr>
        <w:tc>
          <w:tcPr>
            <w:tcW w:type="dxa" w:w="1152"/>
            <w:vAlign w:val="center"/>
          </w:tcPr>
          <w:p>
            <w:r>
              <w:t>POST</w:t>
            </w:r>
          </w:p>
        </w:tc>
        <w:tc>
          <w:tcPr>
            <w:tcW w:type="dxa" w:w="3024"/>
            <w:vAlign w:val="center"/>
          </w:tcPr>
          <w:p>
            <w:r>
              <w:t>/api/v1/publication/{id}/suppress</w:t>
            </w:r>
          </w:p>
        </w:tc>
        <w:tc>
          <w:tcPr>
            <w:tcW w:type="dxa" w:w="2592"/>
            <w:vAlign w:val="center"/>
          </w:tcPr>
          <w:p>
            <w:r>
              <w:t>Suppress publication</w:t>
            </w:r>
          </w:p>
        </w:tc>
        <w:tc>
          <w:tcPr>
            <w:tcW w:type="dxa" w:w="1584"/>
            <w:vAlign w:val="center"/>
          </w:tcPr>
          <w:p>
            <w:r>
              <w:t>Admin</w:t>
            </w:r>
          </w:p>
        </w:tc>
      </w:tr>
      <w:tr>
        <w:tc>
          <w:tcPr>
            <w:tcW w:type="dxa" w:w="1152"/>
            <w:vAlign w:val="center"/>
          </w:tcPr>
          <w:p>
            <w:r>
              <w:t>GET</w:t>
            </w:r>
          </w:p>
        </w:tc>
        <w:tc>
          <w:tcPr>
            <w:tcW w:type="dxa" w:w="3024"/>
            <w:vAlign w:val="center"/>
          </w:tcPr>
          <w:p>
            <w:r>
              <w:t>/api/v1/audit/events</w:t>
            </w:r>
          </w:p>
        </w:tc>
        <w:tc>
          <w:tcPr>
            <w:tcW w:type="dxa" w:w="2592"/>
            <w:vAlign w:val="center"/>
          </w:tcPr>
          <w:p>
            <w:r>
              <w:t>Query audit events</w:t>
            </w:r>
          </w:p>
        </w:tc>
        <w:tc>
          <w:tcPr>
            <w:tcW w:type="dxa" w:w="1584"/>
            <w:vAlign w:val="center"/>
          </w:tcPr>
          <w:p>
            <w:r>
              <w:t>Admin</w:t>
            </w:r>
          </w:p>
        </w:tc>
      </w:tr>
      <w:tr>
        <w:tc>
          <w:tcPr>
            <w:tcW w:type="dxa" w:w="1152"/>
            <w:vAlign w:val="center"/>
          </w:tcPr>
          <w:p>
            <w:r>
              <w:t>POST</w:t>
            </w:r>
          </w:p>
        </w:tc>
        <w:tc>
          <w:tcPr>
            <w:tcW w:type="dxa" w:w="3024"/>
            <w:vAlign w:val="center"/>
          </w:tcPr>
          <w:p>
            <w:r>
              <w:t>/api/v1/policies/promote</w:t>
            </w:r>
          </w:p>
        </w:tc>
        <w:tc>
          <w:tcPr>
            <w:tcW w:type="dxa" w:w="2592"/>
            <w:vAlign w:val="center"/>
          </w:tcPr>
          <w:p>
            <w:r>
              <w:t>Promote policy bundle</w:t>
            </w:r>
          </w:p>
        </w:tc>
        <w:tc>
          <w:tcPr>
            <w:tcW w:type="dxa" w:w="1584"/>
            <w:vAlign w:val="center"/>
          </w:tcPr>
          <w:p>
            <w:r>
              <w:t>Admin</w:t>
            </w:r>
          </w:p>
        </w:tc>
      </w:tr>
    </w:tbl>
    <w:p/>
    <w:p>
      <w:pPr>
        <w:pStyle w:val="Heading1"/>
      </w:pPr>
      <w:r>
        <w:t>16. Error Model</w:t>
      </w:r>
    </w:p>
    <w:p>
      <w:pPr>
        <w:spacing w:after="120" w:line="276" w:lineRule="auto"/>
      </w:pPr>
      <w:r>
        <w:t>Errors should be typed and actionable. Clients must know whether an error is retryable, whether it indicates a degraded but still usable state, and whether it blocks publication.</w:t>
      </w:r>
    </w:p>
    <w:p>
      <w:pPr>
        <w:spacing w:after="120" w:line="276" w:lineRule="auto"/>
      </w:pPr>
      <w:r>
        <w:t>Recommended categories: validation_error, authorization_error, not_found, conflict, dependency_failure, degraded_state, and internal_error.</w:t>
      </w:r>
    </w:p>
    <w:p>
      <w:pPr>
        <w:spacing w:after="120" w:line="276" w:lineRule="auto"/>
      </w:pPr>
      <w:r>
        <w:t>{ "error": { "code": "DEPENDENCY_STALE", "category": "degraded_state", "message": "News feed freshness exceeded publication threshold", "retryable": false, "object_ref": "source:news", "trace_id": "..." } }</w:t>
      </w:r>
    </w:p>
    <w:p>
      <w:pPr>
        <w:pStyle w:val="Heading1"/>
      </w:pPr>
      <w:r>
        <w:t>17. Idempotency, Concurrency, and Pagination</w:t>
      </w:r>
    </w:p>
    <w:p>
      <w:pPr>
        <w:pStyle w:val="ListBullet"/>
      </w:pPr>
      <w:r>
        <w:t>Use idempotency keys for scenario creation, approval decisions, and backtest run starts when duplicate submission is possible.</w:t>
      </w:r>
    </w:p>
    <w:p>
      <w:pPr>
        <w:pStyle w:val="ListBullet"/>
      </w:pPr>
      <w:r>
        <w:t>Protect publication and suppression actions with optimistic concurrency tokens tied to the publication record state.</w:t>
      </w:r>
    </w:p>
    <w:p>
      <w:pPr>
        <w:pStyle w:val="ListBullet"/>
      </w:pPr>
      <w:r>
        <w:t>Use cursor pagination for growing collections such as alerts, audit events, article lists, and historical run history.</w:t>
      </w:r>
    </w:p>
    <w:p>
      <w:pPr>
        <w:pStyle w:val="ListBullet"/>
      </w:pPr>
      <w:r>
        <w:t>Return explicit sort keys in paginated collections so replayable views stay stable.</w:t>
      </w:r>
    </w:p>
    <w:p>
      <w:pPr>
        <w:pStyle w:val="Heading1"/>
      </w:pPr>
      <w:r>
        <w:t>18. Versioning and Deprecation</w:t>
      </w:r>
    </w:p>
    <w:p>
      <w:pPr>
        <w:spacing w:after="120" w:line="276" w:lineRule="auto"/>
      </w:pPr>
      <w:r>
        <w:t>The route namespace should begin with `/api/v1`. Breaking response changes require a new version. Additive fields are allowed within a version as long as required fields remain stable and semantic meaning does not change.</w:t>
      </w:r>
    </w:p>
    <w:p>
      <w:pPr>
        <w:spacing w:after="120" w:line="276" w:lineRule="auto"/>
      </w:pPr>
      <w:r>
        <w:t>For high-value types such as RecommendationDetail and DecisionStageDetail, publish compatibility notes before removing or renaming fields. The platform should prefer deprecation windows over abrupt contract changes because replay and historical comparisons depend on contract continuity.</w:t>
      </w:r>
    </w:p>
    <w:p>
      <w:pPr>
        <w:pStyle w:val="Heading1"/>
      </w:pPr>
      <w:r>
        <w:t>19. Contract Acceptance Checklist</w:t>
      </w:r>
    </w:p>
    <w:p>
      <w:pPr>
        <w:pStyle w:val="ListNumber"/>
      </w:pPr>
      <w:r>
        <w:t>Every route has a typed success envelope and typed error format.</w:t>
      </w:r>
    </w:p>
    <w:p>
      <w:pPr>
        <w:pStyle w:val="ListNumber"/>
      </w:pPr>
      <w:r>
        <w:t>Every user-visible recommendation response carries freshness, status, and trace metadata.</w:t>
      </w:r>
    </w:p>
    <w:p>
      <w:pPr>
        <w:pStyle w:val="ListNumber"/>
      </w:pPr>
      <w:r>
        <w:t>Every mutation route emits an audit event.</w:t>
      </w:r>
    </w:p>
    <w:p>
      <w:pPr>
        <w:pStyle w:val="ListNumber"/>
      </w:pPr>
      <w:r>
        <w:t>Scenario outputs cannot be mistaken for published recommendations.</w:t>
      </w:r>
    </w:p>
    <w:p>
      <w:pPr>
        <w:pStyle w:val="ListNumber"/>
      </w:pPr>
      <w:r>
        <w:t>Replay, backtests, paper, and admin routes resolve stable identifiers from Document 11.</w:t>
      </w:r>
    </w:p>
    <w:p>
      <w:pPr>
        <w:pStyle w:val="ListNumber"/>
      </w:pPr>
      <w:r>
        <w:t>Authorization behavior is explicit and testable for every mutation route.</w:t>
      </w:r>
    </w:p>
    <w:p>
      <w:pPr>
        <w:pStyle w:val="Heading1"/>
      </w:pPr>
      <w:r>
        <w:t>Appendix A - Example Recommendation Detail Skeleton</w:t>
      </w:r>
    </w:p>
    <w:p>
      <w:pPr>
        <w:spacing w:after="120" w:line="276" w:lineRule="auto"/>
      </w:pPr>
      <w:r>
        <w:t>{ "meta": {"trace_id": "...", "api_version": "v1", "generated_at": "..."}, "data": { "recommendation_id": "...", "status": {"publication_state": "published", "health_state": "healthy"}, "confidence": {"overall": 0.72, "data": 0.81, "model": 0.69, "operational": 0.93}, "target_weights": [{"asset_id": "AAPL", "target_weight": 0.08}], "decision_breakdown_ref": {"selection_run_id": "...", "allocation_run_id": "...", "timing_run_id": "...", "risk_run_id": "..."}, "top_drivers": ["macro improved", "trend support"], "warnings": [] } }</w:t>
      </w:r>
    </w:p>
    <w:p>
      <w:pPr>
        <w:pStyle w:val="Heading1"/>
      </w:pPr>
      <w:r>
        <w:t>Appendix B - Example Approval Command</w:t>
      </w:r>
    </w:p>
    <w:p>
      <w:pPr>
        <w:spacing w:after="120" w:line="276" w:lineRule="auto"/>
      </w:pPr>
      <w:r>
        <w:t>POST /api/v1/publication/{id}/approve</w:t>
      </w:r>
    </w:p>
    <w:p>
      <w:pPr>
        <w:spacing w:after="120" w:line="276" w:lineRule="auto"/>
      </w:pPr>
      <w:r>
        <w:t>{ "expected_state": "staged_for_approval", "decision_note": "Approved after verifying source freshness and no active incident", "idempotency_key": "..." }</w:t>
      </w:r>
    </w:p>
    <w:sectPr w:rsidR="00FC693F" w:rsidRPr="0006063C" w:rsidSect="00034616">
      <w:footerReference w:type="default" r:id="rId9"/>
      <w:pgSz w:w="11909" w:h="16834"/>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QuantPipeline working specification - 12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QP">
    <w:name w:val="TitleQP"/>
    <w:rPr>
      <w:rFonts w:ascii="Aptos Display" w:hAnsi="Aptos Display"/>
      <w:b/>
      <w:color w:val="1F2D3D"/>
      <w:sz w:val="48"/>
    </w:rPr>
  </w:style>
  <w:style w:type="paragraph" w:customStyle="1" w:styleId="SubtitleQP">
    <w:name w:val="SubtitleQP"/>
    <w:rPr>
      <w:rFonts w:ascii="Aptos" w:hAnsi="Aptos"/>
      <w:i/>
      <w:color w:val="5B65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