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18. UI Wireframes and Screen Concepts</w:t>
      </w:r>
    </w:p>
    <w:p>
      <w:pPr>
        <w:jc w:val="center"/>
      </w:pPr>
      <w:r>
        <w:rPr>
          <w:i/>
          <w:sz w:val="24"/>
        </w:rPr>
        <w:t>Annotated wireframes and concept screens for the first design baseline</w:t>
      </w:r>
    </w:p>
    <w:p/>
    <w:tbl>
      <w:tblPr>
        <w:tblStyle w:val="TableGrid"/>
        <w:tblW w:type="auto" w:w="0"/>
        <w:jc w:val="center"/>
        <w:tblLook w:firstColumn="1" w:firstRow="1" w:lastColumn="0" w:lastRow="0" w:noHBand="0" w:noVBand="1" w:val="04A0"/>
      </w:tblPr>
      <w:tblGrid>
        <w:gridCol w:w="5040"/>
        <w:gridCol w:w="5040"/>
      </w:tblGrid>
      <w:tr>
        <w:tc>
          <w:tcPr>
            <w:tcW w:type="dxa" w:w="5040"/>
            <w:tcMar>
              <w:top w:w="70" w:type="dxa"/>
              <w:start w:w="90" w:type="dxa"/>
              <w:bottom w:w="70" w:type="dxa"/>
              <w:end w:w="90" w:type="dxa"/>
            </w:tcMar>
            <w:shd w:fill="EAF2FF"/>
          </w:tcPr>
          <w:p>
            <w:pPr>
              <w:pStyle w:val="BodySmall"/>
            </w:pPr>
            <w:r>
              <w:t>Program</w:t>
            </w:r>
          </w:p>
        </w:tc>
        <w:tc>
          <w:tcPr>
            <w:tcW w:type="dxa" w:w="5040"/>
            <w:tcMar>
              <w:top w:w="70" w:type="dxa"/>
              <w:start w:w="90" w:type="dxa"/>
              <w:bottom w:w="70" w:type="dxa"/>
              <w:end w:w="90" w:type="dxa"/>
            </w:tcMar>
          </w:tcPr>
          <w:p>
            <w:pPr>
              <w:pStyle w:val="BodySmall"/>
            </w:pPr>
            <w:r>
              <w:t>QuantPipeline - private modular portfolio decision platform</w:t>
            </w:r>
          </w:p>
        </w:tc>
      </w:tr>
      <w:tr>
        <w:tc>
          <w:tcPr>
            <w:tcW w:type="dxa" w:w="5040"/>
            <w:tcMar>
              <w:top w:w="70" w:type="dxa"/>
              <w:start w:w="90" w:type="dxa"/>
              <w:bottom w:w="70" w:type="dxa"/>
              <w:end w:w="90" w:type="dxa"/>
            </w:tcMar>
            <w:shd w:fill="EAF2FF"/>
          </w:tcPr>
          <w:p>
            <w:pPr>
              <w:pStyle w:val="BodySmall"/>
            </w:pPr>
            <w:r>
              <w:t>Document purpose</w:t>
            </w:r>
          </w:p>
        </w:tc>
        <w:tc>
          <w:tcPr>
            <w:tcW w:type="dxa" w:w="5040"/>
            <w:tcMar>
              <w:top w:w="70" w:type="dxa"/>
              <w:start w:w="90" w:type="dxa"/>
              <w:bottom w:w="70" w:type="dxa"/>
              <w:end w:w="90" w:type="dxa"/>
            </w:tcMar>
          </w:tcPr>
          <w:p>
            <w:pPr>
              <w:pStyle w:val="BodySmall"/>
            </w:pPr>
            <w:r>
              <w:t>Annotated wireframes and concept screens for the first design baseline</w:t>
            </w:r>
          </w:p>
        </w:tc>
      </w:tr>
      <w:tr>
        <w:tc>
          <w:tcPr>
            <w:tcW w:type="dxa" w:w="5040"/>
            <w:tcMar>
              <w:top w:w="70" w:type="dxa"/>
              <w:start w:w="90" w:type="dxa"/>
              <w:bottom w:w="70" w:type="dxa"/>
              <w:end w:w="90" w:type="dxa"/>
            </w:tcMar>
            <w:shd w:fill="EAF2FF"/>
          </w:tcPr>
          <w:p>
            <w:pPr>
              <w:pStyle w:val="BodySmall"/>
            </w:pPr>
            <w:r>
              <w:t>Status</w:t>
            </w:r>
          </w:p>
        </w:tc>
        <w:tc>
          <w:tcPr>
            <w:tcW w:type="dxa" w:w="5040"/>
            <w:tcMar>
              <w:top w:w="70" w:type="dxa"/>
              <w:start w:w="90" w:type="dxa"/>
              <w:bottom w:w="70" w:type="dxa"/>
              <w:end w:w="90" w:type="dxa"/>
            </w:tcMar>
          </w:tcPr>
          <w:p>
            <w:pPr>
              <w:pStyle w:val="BodySmall"/>
            </w:pPr>
            <w:r>
              <w:t>Working baseline for design and delivery</w:t>
            </w:r>
          </w:p>
        </w:tc>
      </w:tr>
    </w:tbl>
    <w:p>
      <w:r>
        <w:br w:type="page"/>
      </w:r>
    </w:p>
    <w:p>
      <w:r>
        <w:t>This document translates the IA and UX rules into concrete screen concepts. The wireframes are intentionally mid-fidelity: they define hierarchy, zones, and behavioral responsibilities without pretending that the final visual design is settled.</w:t>
      </w:r>
    </w:p>
    <w:p>
      <w:pPr>
        <w:pStyle w:val="Heading1"/>
      </w:pPr>
      <w:r>
        <w:t>1. Wireframing objectives</w:t>
      </w:r>
    </w:p>
    <w:p>
      <w:pPr>
        <w:pStyle w:val="ListBullet"/>
        <w:ind w:left="0"/>
      </w:pPr>
      <w:r>
        <w:t>Lock screen hierarchy before visual polish begins.</w:t>
      </w:r>
    </w:p>
    <w:p>
      <w:pPr>
        <w:pStyle w:val="ListBullet"/>
        <w:ind w:left="0"/>
      </w:pPr>
      <w:r>
        <w:t>Verify that the product can expose recommendation, evidence, risk, and action in one coherent canvas.</w:t>
      </w:r>
    </w:p>
    <w:p>
      <w:pPr>
        <w:pStyle w:val="ListBullet"/>
        <w:ind w:left="0"/>
      </w:pPr>
      <w:r>
        <w:t>Ensure that mobile and operator surfaces inherit the same mental model.</w:t>
      </w:r>
    </w:p>
    <w:p>
      <w:pPr>
        <w:pStyle w:val="Heading1"/>
      </w:pPr>
      <w:r>
        <w:t>2. Global layout conventions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6F1"/>
            <w:tcMar>
              <w:top w:w="60" w:type="dxa"/>
              <w:start w:w="80" w:type="dxa"/>
              <w:bottom w:w="60" w:type="dxa"/>
              <w:end w:w="80" w:type="dxa"/>
            </w:tcMar>
          </w:tcPr>
          <w:p>
            <w:pPr>
              <w:pStyle w:val="TableText"/>
            </w:pPr>
            <w:r>
              <w:t>Pattern</w:t>
            </w:r>
          </w:p>
        </w:tc>
        <w:tc>
          <w:tcPr>
            <w:tcW w:type="dxa" w:w="3360"/>
            <w:shd w:fill="DCE6F1"/>
            <w:tcMar>
              <w:top w:w="60" w:type="dxa"/>
              <w:start w:w="80" w:type="dxa"/>
              <w:bottom w:w="60" w:type="dxa"/>
              <w:end w:w="80" w:type="dxa"/>
            </w:tcMar>
          </w:tcPr>
          <w:p>
            <w:pPr>
              <w:pStyle w:val="TableText"/>
            </w:pPr>
            <w:r>
              <w:t>Definition</w:t>
            </w:r>
          </w:p>
        </w:tc>
        <w:tc>
          <w:tcPr>
            <w:tcW w:type="dxa" w:w="3360"/>
            <w:shd w:fill="DCE6F1"/>
            <w:tcMar>
              <w:top w:w="60" w:type="dxa"/>
              <w:start w:w="80" w:type="dxa"/>
              <w:bottom w:w="60" w:type="dxa"/>
              <w:end w:w="80" w:type="dxa"/>
            </w:tcMar>
          </w:tcPr>
          <w:p>
            <w:pPr>
              <w:pStyle w:val="TableText"/>
            </w:pPr>
            <w:r>
              <w:t>Why it matters</w:t>
            </w:r>
          </w:p>
        </w:tc>
      </w:tr>
      <w:tr>
        <w:tc>
          <w:tcPr>
            <w:tcW w:type="dxa" w:w="3360"/>
            <w:tcMar>
              <w:top w:w="60" w:type="dxa"/>
              <w:start w:w="80" w:type="dxa"/>
              <w:bottom w:w="60" w:type="dxa"/>
              <w:end w:w="80" w:type="dxa"/>
            </w:tcMar>
          </w:tcPr>
          <w:p>
            <w:pPr>
              <w:pStyle w:val="TableText"/>
            </w:pPr>
            <w:r>
              <w:t>Three-zone desktop</w:t>
            </w:r>
          </w:p>
        </w:tc>
        <w:tc>
          <w:tcPr>
            <w:tcW w:type="dxa" w:w="3360"/>
            <w:tcMar>
              <w:top w:w="60" w:type="dxa"/>
              <w:start w:w="80" w:type="dxa"/>
              <w:bottom w:w="60" w:type="dxa"/>
              <w:end w:w="80" w:type="dxa"/>
            </w:tcMar>
          </w:tcPr>
          <w:p>
            <w:pPr>
              <w:pStyle w:val="TableText"/>
            </w:pPr>
            <w:r>
              <w:t>Left navigation, center canvas, right context pane</w:t>
            </w:r>
          </w:p>
        </w:tc>
        <w:tc>
          <w:tcPr>
            <w:tcW w:type="dxa" w:w="3360"/>
            <w:tcMar>
              <w:top w:w="60" w:type="dxa"/>
              <w:start w:w="80" w:type="dxa"/>
              <w:bottom w:w="60" w:type="dxa"/>
              <w:end w:w="80" w:type="dxa"/>
            </w:tcMar>
          </w:tcPr>
          <w:p>
            <w:pPr>
              <w:pStyle w:val="TableText"/>
            </w:pPr>
            <w:r>
              <w:t>gives stable orientation and separates detail from actions</w:t>
            </w:r>
          </w:p>
        </w:tc>
      </w:tr>
      <w:tr>
        <w:tc>
          <w:tcPr>
            <w:tcW w:type="dxa" w:w="3360"/>
            <w:tcMar>
              <w:top w:w="60" w:type="dxa"/>
              <w:start w:w="80" w:type="dxa"/>
              <w:bottom w:w="60" w:type="dxa"/>
              <w:end w:w="80" w:type="dxa"/>
            </w:tcMar>
          </w:tcPr>
          <w:p>
            <w:pPr>
              <w:pStyle w:val="TableText"/>
            </w:pPr>
            <w:r>
              <w:t>Hero-first content stack</w:t>
            </w:r>
          </w:p>
        </w:tc>
        <w:tc>
          <w:tcPr>
            <w:tcW w:type="dxa" w:w="3360"/>
            <w:tcMar>
              <w:top w:w="60" w:type="dxa"/>
              <w:start w:w="80" w:type="dxa"/>
              <w:bottom w:w="60" w:type="dxa"/>
              <w:end w:w="80" w:type="dxa"/>
            </w:tcMar>
          </w:tcPr>
          <w:p>
            <w:pPr>
              <w:pStyle w:val="TableText"/>
            </w:pPr>
            <w:r>
              <w:t>top summary before deep evidence</w:t>
            </w:r>
          </w:p>
        </w:tc>
        <w:tc>
          <w:tcPr>
            <w:tcW w:type="dxa" w:w="3360"/>
            <w:tcMar>
              <w:top w:w="60" w:type="dxa"/>
              <w:start w:w="80" w:type="dxa"/>
              <w:bottom w:w="60" w:type="dxa"/>
              <w:end w:w="80" w:type="dxa"/>
            </w:tcMar>
          </w:tcPr>
          <w:p>
            <w:pPr>
              <w:pStyle w:val="TableText"/>
            </w:pPr>
            <w:r>
              <w:t>matches the decision rhythm</w:t>
            </w:r>
          </w:p>
        </w:tc>
      </w:tr>
      <w:tr>
        <w:tc>
          <w:tcPr>
            <w:tcW w:type="dxa" w:w="3360"/>
            <w:tcMar>
              <w:top w:w="60" w:type="dxa"/>
              <w:start w:w="80" w:type="dxa"/>
              <w:bottom w:w="60" w:type="dxa"/>
              <w:end w:w="80" w:type="dxa"/>
            </w:tcMar>
          </w:tcPr>
          <w:p>
            <w:pPr>
              <w:pStyle w:val="TableText"/>
            </w:pPr>
            <w:r>
              <w:t>Action persistence</w:t>
            </w:r>
          </w:p>
        </w:tc>
        <w:tc>
          <w:tcPr>
            <w:tcW w:type="dxa" w:w="3360"/>
            <w:tcMar>
              <w:top w:w="60" w:type="dxa"/>
              <w:start w:w="80" w:type="dxa"/>
              <w:bottom w:w="60" w:type="dxa"/>
              <w:end w:w="80" w:type="dxa"/>
            </w:tcMar>
          </w:tcPr>
          <w:p>
            <w:pPr>
              <w:pStyle w:val="TableText"/>
            </w:pPr>
            <w:r>
              <w:t>primary action bar visible near recommendation context</w:t>
            </w:r>
          </w:p>
        </w:tc>
        <w:tc>
          <w:tcPr>
            <w:tcW w:type="dxa" w:w="3360"/>
            <w:tcMar>
              <w:top w:w="60" w:type="dxa"/>
              <w:start w:w="80" w:type="dxa"/>
              <w:bottom w:w="60" w:type="dxa"/>
              <w:end w:w="80" w:type="dxa"/>
            </w:tcMar>
          </w:tcPr>
          <w:p>
            <w:pPr>
              <w:pStyle w:val="TableText"/>
            </w:pPr>
            <w:r>
              <w:t>reduces accidental context loss</w:t>
            </w:r>
          </w:p>
        </w:tc>
      </w:tr>
      <w:tr>
        <w:tc>
          <w:tcPr>
            <w:tcW w:type="dxa" w:w="3360"/>
            <w:tcMar>
              <w:top w:w="60" w:type="dxa"/>
              <w:start w:w="80" w:type="dxa"/>
              <w:bottom w:w="60" w:type="dxa"/>
              <w:end w:w="80" w:type="dxa"/>
            </w:tcMar>
          </w:tcPr>
          <w:p>
            <w:pPr>
              <w:pStyle w:val="TableText"/>
            </w:pPr>
            <w:r>
              <w:t>Mobile bottom-sheet context</w:t>
            </w:r>
          </w:p>
        </w:tc>
        <w:tc>
          <w:tcPr>
            <w:tcW w:type="dxa" w:w="3360"/>
            <w:tcMar>
              <w:top w:w="60" w:type="dxa"/>
              <w:start w:w="80" w:type="dxa"/>
              <w:bottom w:w="60" w:type="dxa"/>
              <w:end w:w="80" w:type="dxa"/>
            </w:tcMar>
          </w:tcPr>
          <w:p>
            <w:pPr>
              <w:pStyle w:val="TableText"/>
            </w:pPr>
            <w:r>
              <w:t>right-rail content becomes layered bottom sheet</w:t>
            </w:r>
          </w:p>
        </w:tc>
        <w:tc>
          <w:tcPr>
            <w:tcW w:type="dxa" w:w="3360"/>
            <w:tcMar>
              <w:top w:w="60" w:type="dxa"/>
              <w:start w:w="80" w:type="dxa"/>
              <w:bottom w:w="60" w:type="dxa"/>
              <w:end w:w="80" w:type="dxa"/>
            </w:tcMar>
          </w:tcPr>
          <w:p>
            <w:pPr>
              <w:pStyle w:val="TableText"/>
            </w:pPr>
            <w:r>
              <w:t>preserves explainability on narrow screens</w:t>
            </w:r>
          </w:p>
        </w:tc>
      </w:tr>
    </w:tbl>
    <w:p>
      <w:pPr>
        <w:pStyle w:val="Heading1"/>
      </w:pPr>
      <w:r>
        <w:t>3. Main decision workspace concept</w:t>
      </w:r>
    </w:p>
    <w:p>
      <w:r>
        <w:t>The main decision workspace is the most important screen in the product. The recommendation hero, risk summary, and disagreement block are above the fold. Evidence narrative and challenge controls occupy the center. The right context pane is never decorative; it is a working surface for risk, confidence, provenance, and action.</w:t>
      </w:r>
    </w:p>
    <w:p>
      <w:pPr>
        <w:jc w:val="center"/>
      </w:pPr>
      <w:r>
        <w:drawing>
          <wp:inline xmlns:a="http://schemas.openxmlformats.org/drawingml/2006/main" xmlns:pic="http://schemas.openxmlformats.org/drawingml/2006/picture">
            <wp:extent cx="6309360" cy="3864483"/>
            <wp:docPr id="1" name="Picture 1"/>
            <wp:cNvGraphicFramePr>
              <a:graphicFrameLocks noChangeAspect="1"/>
            </wp:cNvGraphicFramePr>
            <a:graphic>
              <a:graphicData uri="http://schemas.openxmlformats.org/drawingml/2006/picture">
                <pic:pic>
                  <pic:nvPicPr>
                    <pic:cNvPr id="0" name="18_wireframe_dashboard.png"/>
                    <pic:cNvPicPr/>
                  </pic:nvPicPr>
                  <pic:blipFill>
                    <a:blip r:embed="rId9"/>
                    <a:stretch>
                      <a:fillRect/>
                    </a:stretch>
                  </pic:blipFill>
                  <pic:spPr>
                    <a:xfrm>
                      <a:off x="0" y="0"/>
                      <a:ext cx="6309360" cy="3864483"/>
                    </a:xfrm>
                    <a:prstGeom prst="rect"/>
                  </pic:spPr>
                </pic:pic>
              </a:graphicData>
            </a:graphic>
          </wp:inline>
        </w:drawing>
      </w:r>
    </w:p>
    <w:p>
      <w:pPr>
        <w:pStyle w:val="BodySmall"/>
        <w:jc w:val="center"/>
      </w:pPr>
      <w:r>
        <w:t>Figure 18-1. Main decision workspace wireframe.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6F1"/>
            <w:tcMar>
              <w:top w:w="60" w:type="dxa"/>
              <w:start w:w="80" w:type="dxa"/>
              <w:bottom w:w="60" w:type="dxa"/>
              <w:end w:w="80" w:type="dxa"/>
            </w:tcMar>
          </w:tcPr>
          <w:p>
            <w:pPr>
              <w:pStyle w:val="TableText"/>
            </w:pPr>
            <w:r>
              <w:t>Region</w:t>
            </w:r>
          </w:p>
        </w:tc>
        <w:tc>
          <w:tcPr>
            <w:tcW w:type="dxa" w:w="3360"/>
            <w:shd w:fill="DCE6F1"/>
            <w:tcMar>
              <w:top w:w="60" w:type="dxa"/>
              <w:start w:w="80" w:type="dxa"/>
              <w:bottom w:w="60" w:type="dxa"/>
              <w:end w:w="80" w:type="dxa"/>
            </w:tcMar>
          </w:tcPr>
          <w:p>
            <w:pPr>
              <w:pStyle w:val="TableText"/>
            </w:pPr>
            <w:r>
              <w:t>Must show</w:t>
            </w:r>
          </w:p>
        </w:tc>
        <w:tc>
          <w:tcPr>
            <w:tcW w:type="dxa" w:w="3360"/>
            <w:shd w:fill="DCE6F1"/>
            <w:tcMar>
              <w:top w:w="60" w:type="dxa"/>
              <w:start w:w="80" w:type="dxa"/>
              <w:bottom w:w="60" w:type="dxa"/>
              <w:end w:w="80" w:type="dxa"/>
            </w:tcMar>
          </w:tcPr>
          <w:p>
            <w:pPr>
              <w:pStyle w:val="TableText"/>
            </w:pPr>
            <w:r>
              <w:t>Interaction notes</w:t>
            </w:r>
          </w:p>
        </w:tc>
      </w:tr>
      <w:tr>
        <w:tc>
          <w:tcPr>
            <w:tcW w:type="dxa" w:w="3360"/>
            <w:tcMar>
              <w:top w:w="60" w:type="dxa"/>
              <w:start w:w="80" w:type="dxa"/>
              <w:bottom w:w="60" w:type="dxa"/>
              <w:end w:w="80" w:type="dxa"/>
            </w:tcMar>
          </w:tcPr>
          <w:p>
            <w:pPr>
              <w:pStyle w:val="TableText"/>
            </w:pPr>
            <w:r>
              <w:t>Left navigation</w:t>
            </w:r>
          </w:p>
        </w:tc>
        <w:tc>
          <w:tcPr>
            <w:tcW w:type="dxa" w:w="3360"/>
            <w:tcMar>
              <w:top w:w="60" w:type="dxa"/>
              <w:start w:w="80" w:type="dxa"/>
              <w:bottom w:w="60" w:type="dxa"/>
              <w:end w:w="80" w:type="dxa"/>
            </w:tcMar>
          </w:tcPr>
          <w:p>
            <w:pPr>
              <w:pStyle w:val="TableText"/>
            </w:pPr>
            <w:r>
              <w:t>major sections, saved views, active route</w:t>
            </w:r>
          </w:p>
        </w:tc>
        <w:tc>
          <w:tcPr>
            <w:tcW w:type="dxa" w:w="3360"/>
            <w:tcMar>
              <w:top w:w="60" w:type="dxa"/>
              <w:start w:w="80" w:type="dxa"/>
              <w:bottom w:w="60" w:type="dxa"/>
              <w:end w:w="80" w:type="dxa"/>
            </w:tcMar>
          </w:tcPr>
          <w:p>
            <w:pPr>
              <w:pStyle w:val="TableText"/>
            </w:pPr>
            <w:r>
              <w:t>collapsed state still exposes active location</w:t>
            </w:r>
          </w:p>
        </w:tc>
      </w:tr>
      <w:tr>
        <w:tc>
          <w:tcPr>
            <w:tcW w:type="dxa" w:w="3360"/>
            <w:tcMar>
              <w:top w:w="60" w:type="dxa"/>
              <w:start w:w="80" w:type="dxa"/>
              <w:bottom w:w="60" w:type="dxa"/>
              <w:end w:w="80" w:type="dxa"/>
            </w:tcMar>
          </w:tcPr>
          <w:p>
            <w:pPr>
              <w:pStyle w:val="TableText"/>
            </w:pPr>
            <w:r>
              <w:t>Top bar</w:t>
            </w:r>
          </w:p>
        </w:tc>
        <w:tc>
          <w:tcPr>
            <w:tcW w:type="dxa" w:w="3360"/>
            <w:tcMar>
              <w:top w:w="60" w:type="dxa"/>
              <w:start w:w="80" w:type="dxa"/>
              <w:bottom w:w="60" w:type="dxa"/>
              <w:end w:w="80" w:type="dxa"/>
            </w:tcMar>
          </w:tcPr>
          <w:p>
            <w:pPr>
              <w:pStyle w:val="TableText"/>
            </w:pPr>
            <w:r>
              <w:t>scope, timeframe, search, mode</w:t>
            </w:r>
          </w:p>
        </w:tc>
        <w:tc>
          <w:tcPr>
            <w:tcW w:type="dxa" w:w="3360"/>
            <w:tcMar>
              <w:top w:w="60" w:type="dxa"/>
              <w:start w:w="80" w:type="dxa"/>
              <w:bottom w:w="60" w:type="dxa"/>
              <w:end w:w="80" w:type="dxa"/>
            </w:tcMar>
          </w:tcPr>
          <w:p>
            <w:pPr>
              <w:pStyle w:val="TableText"/>
            </w:pPr>
            <w:r>
              <w:t>must remain visible during internal workspace scroll</w:t>
            </w:r>
          </w:p>
        </w:tc>
      </w:tr>
      <w:tr>
        <w:tc>
          <w:tcPr>
            <w:tcW w:type="dxa" w:w="3360"/>
            <w:tcMar>
              <w:top w:w="60" w:type="dxa"/>
              <w:start w:w="80" w:type="dxa"/>
              <w:bottom w:w="60" w:type="dxa"/>
              <w:end w:w="80" w:type="dxa"/>
            </w:tcMar>
          </w:tcPr>
          <w:p>
            <w:pPr>
              <w:pStyle w:val="TableText"/>
            </w:pPr>
            <w:r>
              <w:t>Recommendation hero</w:t>
            </w:r>
          </w:p>
        </w:tc>
        <w:tc>
          <w:tcPr>
            <w:tcW w:type="dxa" w:w="3360"/>
            <w:tcMar>
              <w:top w:w="60" w:type="dxa"/>
              <w:start w:w="80" w:type="dxa"/>
              <w:bottom w:w="60" w:type="dxa"/>
              <w:end w:w="80" w:type="dxa"/>
            </w:tcMar>
          </w:tcPr>
          <w:p>
            <w:pPr>
              <w:pStyle w:val="TableText"/>
            </w:pPr>
            <w:r>
              <w:t>stance, weight, horizon, confidence</w:t>
            </w:r>
          </w:p>
        </w:tc>
        <w:tc>
          <w:tcPr>
            <w:tcW w:type="dxa" w:w="3360"/>
            <w:tcMar>
              <w:top w:w="60" w:type="dxa"/>
              <w:start w:w="80" w:type="dxa"/>
              <w:bottom w:w="60" w:type="dxa"/>
              <w:end w:w="80" w:type="dxa"/>
            </w:tcMar>
          </w:tcPr>
          <w:p>
            <w:pPr>
              <w:pStyle w:val="TableText"/>
            </w:pPr>
            <w:r>
              <w:t>one-click access to notes and publication state</w:t>
            </w:r>
          </w:p>
        </w:tc>
      </w:tr>
      <w:tr>
        <w:tc>
          <w:tcPr>
            <w:tcW w:type="dxa" w:w="3360"/>
            <w:tcMar>
              <w:top w:w="60" w:type="dxa"/>
              <w:start w:w="80" w:type="dxa"/>
              <w:bottom w:w="60" w:type="dxa"/>
              <w:end w:w="80" w:type="dxa"/>
            </w:tcMar>
          </w:tcPr>
          <w:p>
            <w:pPr>
              <w:pStyle w:val="TableText"/>
            </w:pPr>
            <w:r>
              <w:t>Evidence narrative</w:t>
            </w:r>
          </w:p>
        </w:tc>
        <w:tc>
          <w:tcPr>
            <w:tcW w:type="dxa" w:w="3360"/>
            <w:tcMar>
              <w:top w:w="60" w:type="dxa"/>
              <w:start w:w="80" w:type="dxa"/>
              <w:bottom w:w="60" w:type="dxa"/>
              <w:end w:w="80" w:type="dxa"/>
            </w:tcMar>
          </w:tcPr>
          <w:p>
            <w:pPr>
              <w:pStyle w:val="TableText"/>
            </w:pPr>
            <w:r>
              <w:t>why now, key drivers, data caveats</w:t>
            </w:r>
          </w:p>
        </w:tc>
        <w:tc>
          <w:tcPr>
            <w:tcW w:type="dxa" w:w="3360"/>
            <w:tcMar>
              <w:top w:w="60" w:type="dxa"/>
              <w:start w:w="80" w:type="dxa"/>
              <w:bottom w:w="60" w:type="dxa"/>
              <w:end w:w="80" w:type="dxa"/>
            </w:tcMar>
          </w:tcPr>
          <w:p>
            <w:pPr>
              <w:pStyle w:val="TableText"/>
            </w:pPr>
            <w:r>
              <w:t>supports inline expansion, not page replacement</w:t>
            </w:r>
          </w:p>
        </w:tc>
      </w:tr>
      <w:tr>
        <w:tc>
          <w:tcPr>
            <w:tcW w:type="dxa" w:w="3360"/>
            <w:tcMar>
              <w:top w:w="60" w:type="dxa"/>
              <w:start w:w="80" w:type="dxa"/>
              <w:bottom w:w="60" w:type="dxa"/>
              <w:end w:w="80" w:type="dxa"/>
            </w:tcMar>
          </w:tcPr>
          <w:p>
            <w:pPr>
              <w:pStyle w:val="TableText"/>
            </w:pPr>
            <w:r>
              <w:t>Scenario controls</w:t>
            </w:r>
          </w:p>
        </w:tc>
        <w:tc>
          <w:tcPr>
            <w:tcW w:type="dxa" w:w="3360"/>
            <w:tcMar>
              <w:top w:w="60" w:type="dxa"/>
              <w:start w:w="80" w:type="dxa"/>
              <w:bottom w:w="60" w:type="dxa"/>
              <w:end w:w="80" w:type="dxa"/>
            </w:tcMar>
          </w:tcPr>
          <w:p>
            <w:pPr>
              <w:pStyle w:val="TableText"/>
            </w:pPr>
            <w:r>
              <w:t>assumption edits and sensitivity toggles</w:t>
            </w:r>
          </w:p>
        </w:tc>
        <w:tc>
          <w:tcPr>
            <w:tcW w:type="dxa" w:w="3360"/>
            <w:tcMar>
              <w:top w:w="60" w:type="dxa"/>
              <w:start w:w="80" w:type="dxa"/>
              <w:bottom w:w="60" w:type="dxa"/>
              <w:end w:w="80" w:type="dxa"/>
            </w:tcMar>
          </w:tcPr>
          <w:p>
            <w:pPr>
              <w:pStyle w:val="TableText"/>
            </w:pPr>
            <w:r>
              <w:t>show predicted delta before apply</w:t>
            </w:r>
          </w:p>
        </w:tc>
      </w:tr>
      <w:tr>
        <w:tc>
          <w:tcPr>
            <w:tcW w:type="dxa" w:w="3360"/>
            <w:tcMar>
              <w:top w:w="60" w:type="dxa"/>
              <w:start w:w="80" w:type="dxa"/>
              <w:bottom w:w="60" w:type="dxa"/>
              <w:end w:w="80" w:type="dxa"/>
            </w:tcMar>
          </w:tcPr>
          <w:p>
            <w:pPr>
              <w:pStyle w:val="TableText"/>
            </w:pPr>
            <w:r>
              <w:t>Context pane</w:t>
            </w:r>
          </w:p>
        </w:tc>
        <w:tc>
          <w:tcPr>
            <w:tcW w:type="dxa" w:w="3360"/>
            <w:tcMar>
              <w:top w:w="60" w:type="dxa"/>
              <w:start w:w="80" w:type="dxa"/>
              <w:bottom w:w="60" w:type="dxa"/>
              <w:end w:w="80" w:type="dxa"/>
            </w:tcMar>
          </w:tcPr>
          <w:p>
            <w:pPr>
              <w:pStyle w:val="TableText"/>
            </w:pPr>
            <w:r>
              <w:t>risk, disagreement, provenance, actions</w:t>
            </w:r>
          </w:p>
        </w:tc>
        <w:tc>
          <w:tcPr>
            <w:tcW w:type="dxa" w:w="3360"/>
            <w:tcMar>
              <w:top w:w="60" w:type="dxa"/>
              <w:start w:w="80" w:type="dxa"/>
              <w:bottom w:w="60" w:type="dxa"/>
              <w:end w:w="80" w:type="dxa"/>
            </w:tcMar>
          </w:tcPr>
          <w:p>
            <w:pPr>
              <w:pStyle w:val="TableText"/>
            </w:pPr>
            <w:r>
              <w:t>tabbed only if density becomes unmanageable</w:t>
            </w:r>
          </w:p>
        </w:tc>
      </w:tr>
    </w:tbl>
    <w:p>
      <w:pPr>
        <w:pStyle w:val="Heading1"/>
      </w:pPr>
      <w:r>
        <w:t>4. Engine comparison concept</w:t>
      </w:r>
    </w:p>
    <w:p>
      <w:r>
        <w:t>Comparison should not feel like a separate product. It answers one question: how do multiple analytical engines differ, and what synthesis should the user trust?</w:t>
      </w:r>
    </w:p>
    <w:p>
      <w:pPr>
        <w:jc w:val="center"/>
      </w:pPr>
      <w:r>
        <w:drawing>
          <wp:inline xmlns:a="http://schemas.openxmlformats.org/drawingml/2006/main" xmlns:pic="http://schemas.openxmlformats.org/drawingml/2006/picture">
            <wp:extent cx="6309360" cy="3864483"/>
            <wp:docPr id="2" name="Picture 2"/>
            <wp:cNvGraphicFramePr>
              <a:graphicFrameLocks noChangeAspect="1"/>
            </wp:cNvGraphicFramePr>
            <a:graphic>
              <a:graphicData uri="http://schemas.openxmlformats.org/drawingml/2006/picture">
                <pic:pic>
                  <pic:nvPicPr>
                    <pic:cNvPr id="0" name="18_wireframe_comparison.png"/>
                    <pic:cNvPicPr/>
                  </pic:nvPicPr>
                  <pic:blipFill>
                    <a:blip r:embed="rId10"/>
                    <a:stretch>
                      <a:fillRect/>
                    </a:stretch>
                  </pic:blipFill>
                  <pic:spPr>
                    <a:xfrm>
                      <a:off x="0" y="0"/>
                      <a:ext cx="6309360" cy="3864483"/>
                    </a:xfrm>
                    <a:prstGeom prst="rect"/>
                  </pic:spPr>
                </pic:pic>
              </a:graphicData>
            </a:graphic>
          </wp:inline>
        </w:drawing>
      </w:r>
    </w:p>
    <w:p>
      <w:pPr>
        <w:pStyle w:val="BodySmall"/>
        <w:jc w:val="center"/>
      </w:pPr>
      <w:r>
        <w:t>Figure 18-2. Engine comparison workspace wireframe.</w:t>
      </w:r>
    </w:p>
    <w:p>
      <w:pPr>
        <w:pStyle w:val="ListBullet"/>
        <w:ind w:left="0"/>
      </w:pPr>
      <w:r>
        <w:t>Use a structured matrix for direct comparison across stance, confidence, risk, and notes.</w:t>
      </w:r>
    </w:p>
    <w:p>
      <w:pPr>
        <w:pStyle w:val="ListBullet"/>
        <w:ind w:left="0"/>
      </w:pPr>
      <w:r>
        <w:t>Supplement the matrix with one visual explaining where alignment is high or low.</w:t>
      </w:r>
    </w:p>
    <w:p>
      <w:pPr>
        <w:pStyle w:val="ListBullet"/>
        <w:ind w:left="0"/>
      </w:pPr>
      <w:r>
        <w:t>Finish with a synthesis panel that guides the user back into the decision workspace.</w:t>
      </w:r>
    </w:p>
    <w:p>
      <w:pPr>
        <w:pStyle w:val="Heading1"/>
      </w:pPr>
      <w:r>
        <w:t>5. Mobile decision concept</w:t>
      </w:r>
    </w:p>
    <w:p>
      <w:r>
        <w:t>Mobile supports triage, monitoring, and lightweight challenge. It should surface a concise recommendation card first, then stack evidence and risk in digestible modules.</w:t>
      </w:r>
    </w:p>
    <w:p>
      <w:pPr>
        <w:jc w:val="center"/>
      </w:pPr>
      <w:r>
        <w:drawing>
          <wp:inline xmlns:a="http://schemas.openxmlformats.org/drawingml/2006/main" xmlns:pic="http://schemas.openxmlformats.org/drawingml/2006/picture">
            <wp:extent cx="5669280" cy="3472434"/>
            <wp:docPr id="3" name="Picture 3"/>
            <wp:cNvGraphicFramePr>
              <a:graphicFrameLocks noChangeAspect="1"/>
            </wp:cNvGraphicFramePr>
            <a:graphic>
              <a:graphicData uri="http://schemas.openxmlformats.org/drawingml/2006/picture">
                <pic:pic>
                  <pic:nvPicPr>
                    <pic:cNvPr id="0" name="18_wireframe_mobile.png"/>
                    <pic:cNvPicPr/>
                  </pic:nvPicPr>
                  <pic:blipFill>
                    <a:blip r:embed="rId11"/>
                    <a:stretch>
                      <a:fillRect/>
                    </a:stretch>
                  </pic:blipFill>
                  <pic:spPr>
                    <a:xfrm>
                      <a:off x="0" y="0"/>
                      <a:ext cx="5669280" cy="3472434"/>
                    </a:xfrm>
                    <a:prstGeom prst="rect"/>
                  </pic:spPr>
                </pic:pic>
              </a:graphicData>
            </a:graphic>
          </wp:inline>
        </w:drawing>
      </w:r>
    </w:p>
    <w:p>
      <w:pPr>
        <w:pStyle w:val="BodySmall"/>
        <w:jc w:val="center"/>
      </w:pPr>
      <w:r>
        <w:t>Figure 18-3. Mobile decision workspace wireframe.</w:t>
      </w:r>
    </w:p>
    <w:tbl>
      <w:tblPr>
        <w:tblStyle w:val="TableGrid"/>
        <w:tblW w:type="auto" w:w="0"/>
        <w:jc w:val="center"/>
        <w:tblLook w:firstColumn="1" w:firstRow="1" w:lastColumn="0" w:lastRow="0" w:noHBand="0" w:noVBand="1" w:val="04A0"/>
      </w:tblPr>
      <w:tblGrid>
        <w:gridCol w:w="5040"/>
        <w:gridCol w:w="5040"/>
      </w:tblGrid>
      <w:tr>
        <w:tc>
          <w:tcPr>
            <w:tcW w:type="dxa" w:w="5040"/>
            <w:shd w:fill="DCE6F1"/>
            <w:tcMar>
              <w:top w:w="60" w:type="dxa"/>
              <w:start w:w="80" w:type="dxa"/>
              <w:bottom w:w="60" w:type="dxa"/>
              <w:end w:w="80" w:type="dxa"/>
            </w:tcMar>
          </w:tcPr>
          <w:p>
            <w:pPr>
              <w:pStyle w:val="TableText"/>
            </w:pPr>
            <w:r>
              <w:t>Mobile rule</w:t>
            </w:r>
          </w:p>
        </w:tc>
        <w:tc>
          <w:tcPr>
            <w:tcW w:type="dxa" w:w="5040"/>
            <w:shd w:fill="DCE6F1"/>
            <w:tcMar>
              <w:top w:w="60" w:type="dxa"/>
              <w:start w:w="80" w:type="dxa"/>
              <w:bottom w:w="60" w:type="dxa"/>
              <w:end w:w="80" w:type="dxa"/>
            </w:tcMar>
          </w:tcPr>
          <w:p>
            <w:pPr>
              <w:pStyle w:val="TableText"/>
            </w:pPr>
            <w:r>
              <w:t>Description</w:t>
            </w:r>
          </w:p>
        </w:tc>
      </w:tr>
      <w:tr>
        <w:tc>
          <w:tcPr>
            <w:tcW w:type="dxa" w:w="5040"/>
            <w:tcMar>
              <w:top w:w="60" w:type="dxa"/>
              <w:start w:w="80" w:type="dxa"/>
              <w:bottom w:w="60" w:type="dxa"/>
              <w:end w:w="80" w:type="dxa"/>
            </w:tcMar>
          </w:tcPr>
          <w:p>
            <w:pPr>
              <w:pStyle w:val="TableText"/>
            </w:pPr>
            <w:r>
              <w:t>Card-first hierarchy</w:t>
            </w:r>
          </w:p>
        </w:tc>
        <w:tc>
          <w:tcPr>
            <w:tcW w:type="dxa" w:w="5040"/>
            <w:tcMar>
              <w:top w:w="60" w:type="dxa"/>
              <w:start w:w="80" w:type="dxa"/>
              <w:bottom w:w="60" w:type="dxa"/>
              <w:end w:w="80" w:type="dxa"/>
            </w:tcMar>
          </w:tcPr>
          <w:p>
            <w:pPr>
              <w:pStyle w:val="TableText"/>
            </w:pPr>
            <w:r>
              <w:t>The recommendation card precedes charts and deep notes</w:t>
            </w:r>
          </w:p>
        </w:tc>
      </w:tr>
      <w:tr>
        <w:tc>
          <w:tcPr>
            <w:tcW w:type="dxa" w:w="5040"/>
            <w:tcMar>
              <w:top w:w="60" w:type="dxa"/>
              <w:start w:w="80" w:type="dxa"/>
              <w:bottom w:w="60" w:type="dxa"/>
              <w:end w:w="80" w:type="dxa"/>
            </w:tcMar>
          </w:tcPr>
          <w:p>
            <w:pPr>
              <w:pStyle w:val="TableText"/>
            </w:pPr>
            <w:r>
              <w:t>Bottom navigation</w:t>
            </w:r>
          </w:p>
        </w:tc>
        <w:tc>
          <w:tcPr>
            <w:tcW w:type="dxa" w:w="5040"/>
            <w:tcMar>
              <w:top w:w="60" w:type="dxa"/>
              <w:start w:w="80" w:type="dxa"/>
              <w:bottom w:w="60" w:type="dxa"/>
              <w:end w:w="80" w:type="dxa"/>
            </w:tcMar>
          </w:tcPr>
          <w:p>
            <w:pPr>
              <w:pStyle w:val="TableText"/>
            </w:pPr>
            <w:r>
              <w:t>Core product sections remain reachable with one thumb</w:t>
            </w:r>
          </w:p>
        </w:tc>
      </w:tr>
      <w:tr>
        <w:tc>
          <w:tcPr>
            <w:tcW w:type="dxa" w:w="5040"/>
            <w:tcMar>
              <w:top w:w="60" w:type="dxa"/>
              <w:start w:w="80" w:type="dxa"/>
              <w:bottom w:w="60" w:type="dxa"/>
              <w:end w:w="80" w:type="dxa"/>
            </w:tcMar>
          </w:tcPr>
          <w:p>
            <w:pPr>
              <w:pStyle w:val="TableText"/>
            </w:pPr>
            <w:r>
              <w:t>Context as sheet</w:t>
            </w:r>
          </w:p>
        </w:tc>
        <w:tc>
          <w:tcPr>
            <w:tcW w:type="dxa" w:w="5040"/>
            <w:tcMar>
              <w:top w:w="60" w:type="dxa"/>
              <w:start w:w="80" w:type="dxa"/>
              <w:bottom w:w="60" w:type="dxa"/>
              <w:end w:w="80" w:type="dxa"/>
            </w:tcMar>
          </w:tcPr>
          <w:p>
            <w:pPr>
              <w:pStyle w:val="TableText"/>
            </w:pPr>
            <w:r>
              <w:t>Detailed evidence, risk, and notes open as bottom sheets</w:t>
            </w:r>
          </w:p>
        </w:tc>
      </w:tr>
      <w:tr>
        <w:tc>
          <w:tcPr>
            <w:tcW w:type="dxa" w:w="5040"/>
            <w:tcMar>
              <w:top w:w="60" w:type="dxa"/>
              <w:start w:w="80" w:type="dxa"/>
              <w:bottom w:w="60" w:type="dxa"/>
              <w:end w:w="80" w:type="dxa"/>
            </w:tcMar>
          </w:tcPr>
          <w:p>
            <w:pPr>
              <w:pStyle w:val="TableText"/>
            </w:pPr>
            <w:r>
              <w:t>Progressive charts</w:t>
            </w:r>
          </w:p>
        </w:tc>
        <w:tc>
          <w:tcPr>
            <w:tcW w:type="dxa" w:w="5040"/>
            <w:tcMar>
              <w:top w:w="60" w:type="dxa"/>
              <w:start w:w="80" w:type="dxa"/>
              <w:bottom w:w="60" w:type="dxa"/>
              <w:end w:w="80" w:type="dxa"/>
            </w:tcMar>
          </w:tcPr>
          <w:p>
            <w:pPr>
              <w:pStyle w:val="TableText"/>
            </w:pPr>
            <w:r>
              <w:t>Only one primary chart per viewport by default</w:t>
            </w:r>
          </w:p>
        </w:tc>
      </w:tr>
    </w:tbl>
    <w:p>
      <w:pPr>
        <w:pStyle w:val="Heading1"/>
      </w:pPr>
      <w:r>
        <w:t>6. Admin and ops concept</w:t>
      </w:r>
    </w:p>
    <w:p>
      <w:r>
        <w:t>The operator view privileges queue state, health, policy, and investigation speed. It still shares the same shell and object model so that admin work remains connected to what the end user sees.</w:t>
      </w:r>
    </w:p>
    <w:p>
      <w:pPr>
        <w:jc w:val="center"/>
      </w:pPr>
      <w:r>
        <w:drawing>
          <wp:inline xmlns:a="http://schemas.openxmlformats.org/drawingml/2006/main" xmlns:pic="http://schemas.openxmlformats.org/drawingml/2006/picture">
            <wp:extent cx="6309360" cy="3864483"/>
            <wp:docPr id="4" name="Picture 4"/>
            <wp:cNvGraphicFramePr>
              <a:graphicFrameLocks noChangeAspect="1"/>
            </wp:cNvGraphicFramePr>
            <a:graphic>
              <a:graphicData uri="http://schemas.openxmlformats.org/drawingml/2006/picture">
                <pic:pic>
                  <pic:nvPicPr>
                    <pic:cNvPr id="0" name="18_wireframe_admin.png"/>
                    <pic:cNvPicPr/>
                  </pic:nvPicPr>
                  <pic:blipFill>
                    <a:blip r:embed="rId12"/>
                    <a:stretch>
                      <a:fillRect/>
                    </a:stretch>
                  </pic:blipFill>
                  <pic:spPr>
                    <a:xfrm>
                      <a:off x="0" y="0"/>
                      <a:ext cx="6309360" cy="3864483"/>
                    </a:xfrm>
                    <a:prstGeom prst="rect"/>
                  </pic:spPr>
                </pic:pic>
              </a:graphicData>
            </a:graphic>
          </wp:inline>
        </w:drawing>
      </w:r>
    </w:p>
    <w:p>
      <w:pPr>
        <w:pStyle w:val="BodySmall"/>
        <w:jc w:val="center"/>
      </w:pPr>
      <w:r>
        <w:t>Figure 18-4. Admin and ops workspace wireframe.</w:t>
      </w:r>
    </w:p>
    <w:tbl>
      <w:tblPr>
        <w:tblStyle w:val="TableGrid"/>
        <w:tblW w:type="auto" w:w="0"/>
        <w:jc w:val="center"/>
        <w:tblLook w:firstColumn="1" w:firstRow="1" w:lastColumn="0" w:lastRow="0" w:noHBand="0" w:noVBand="1" w:val="04A0"/>
      </w:tblPr>
      <w:tblGrid>
        <w:gridCol w:w="5040"/>
        <w:gridCol w:w="5040"/>
      </w:tblGrid>
      <w:tr>
        <w:tc>
          <w:tcPr>
            <w:tcW w:type="dxa" w:w="5040"/>
            <w:shd w:fill="DCE6F1"/>
            <w:tcMar>
              <w:top w:w="60" w:type="dxa"/>
              <w:start w:w="80" w:type="dxa"/>
              <w:bottom w:w="60" w:type="dxa"/>
              <w:end w:w="80" w:type="dxa"/>
            </w:tcMar>
          </w:tcPr>
          <w:p>
            <w:pPr>
              <w:pStyle w:val="TableText"/>
            </w:pPr>
            <w:r>
              <w:t>Admin block</w:t>
            </w:r>
          </w:p>
        </w:tc>
        <w:tc>
          <w:tcPr>
            <w:tcW w:type="dxa" w:w="5040"/>
            <w:shd w:fill="DCE6F1"/>
            <w:tcMar>
              <w:top w:w="60" w:type="dxa"/>
              <w:start w:w="80" w:type="dxa"/>
              <w:bottom w:w="60" w:type="dxa"/>
              <w:end w:w="80" w:type="dxa"/>
            </w:tcMar>
          </w:tcPr>
          <w:p>
            <w:pPr>
              <w:pStyle w:val="TableText"/>
            </w:pPr>
            <w:r>
              <w:t>Responsibility</w:t>
            </w:r>
          </w:p>
        </w:tc>
      </w:tr>
      <w:tr>
        <w:tc>
          <w:tcPr>
            <w:tcW w:type="dxa" w:w="5040"/>
            <w:tcMar>
              <w:top w:w="60" w:type="dxa"/>
              <w:start w:w="80" w:type="dxa"/>
              <w:bottom w:w="60" w:type="dxa"/>
              <w:end w:w="80" w:type="dxa"/>
            </w:tcMar>
          </w:tcPr>
          <w:p>
            <w:pPr>
              <w:pStyle w:val="TableText"/>
            </w:pPr>
            <w:r>
              <w:t>Command center strip</w:t>
            </w:r>
          </w:p>
        </w:tc>
        <w:tc>
          <w:tcPr>
            <w:tcW w:type="dxa" w:w="5040"/>
            <w:tcMar>
              <w:top w:w="60" w:type="dxa"/>
              <w:start w:w="80" w:type="dxa"/>
              <w:bottom w:w="60" w:type="dxa"/>
              <w:end w:w="80" w:type="dxa"/>
            </w:tcMar>
          </w:tcPr>
          <w:p>
            <w:pPr>
              <w:pStyle w:val="TableText"/>
            </w:pPr>
            <w:r>
              <w:t>At-a-glance health and release readiness</w:t>
            </w:r>
          </w:p>
        </w:tc>
      </w:tr>
      <w:tr>
        <w:tc>
          <w:tcPr>
            <w:tcW w:type="dxa" w:w="5040"/>
            <w:tcMar>
              <w:top w:w="60" w:type="dxa"/>
              <w:start w:w="80" w:type="dxa"/>
              <w:bottom w:w="60" w:type="dxa"/>
              <w:end w:w="80" w:type="dxa"/>
            </w:tcMar>
          </w:tcPr>
          <w:p>
            <w:pPr>
              <w:pStyle w:val="TableText"/>
            </w:pPr>
            <w:r>
              <w:t>Publication queue</w:t>
            </w:r>
          </w:p>
        </w:tc>
        <w:tc>
          <w:tcPr>
            <w:tcW w:type="dxa" w:w="5040"/>
            <w:tcMar>
              <w:top w:w="60" w:type="dxa"/>
              <w:start w:w="80" w:type="dxa"/>
              <w:bottom w:w="60" w:type="dxa"/>
              <w:end w:w="80" w:type="dxa"/>
            </w:tcMar>
          </w:tcPr>
          <w:p>
            <w:pPr>
              <w:pStyle w:val="TableText"/>
            </w:pPr>
            <w:r>
              <w:t>Approval, hold, rollback, and reason capture</w:t>
            </w:r>
          </w:p>
        </w:tc>
      </w:tr>
      <w:tr>
        <w:tc>
          <w:tcPr>
            <w:tcW w:type="dxa" w:w="5040"/>
            <w:tcMar>
              <w:top w:w="60" w:type="dxa"/>
              <w:start w:w="80" w:type="dxa"/>
              <w:bottom w:w="60" w:type="dxa"/>
              <w:end w:w="80" w:type="dxa"/>
            </w:tcMar>
          </w:tcPr>
          <w:p>
            <w:pPr>
              <w:pStyle w:val="TableText"/>
            </w:pPr>
            <w:r>
              <w:t>Data source health</w:t>
            </w:r>
          </w:p>
        </w:tc>
        <w:tc>
          <w:tcPr>
            <w:tcW w:type="dxa" w:w="5040"/>
            <w:tcMar>
              <w:top w:w="60" w:type="dxa"/>
              <w:start w:w="80" w:type="dxa"/>
              <w:bottom w:w="60" w:type="dxa"/>
              <w:end w:w="80" w:type="dxa"/>
            </w:tcMar>
          </w:tcPr>
          <w:p>
            <w:pPr>
              <w:pStyle w:val="TableText"/>
            </w:pPr>
            <w:r>
              <w:t>freshness, reliability, and drift awareness</w:t>
            </w:r>
          </w:p>
        </w:tc>
      </w:tr>
      <w:tr>
        <w:tc>
          <w:tcPr>
            <w:tcW w:type="dxa" w:w="5040"/>
            <w:tcMar>
              <w:top w:w="60" w:type="dxa"/>
              <w:start w:w="80" w:type="dxa"/>
              <w:bottom w:w="60" w:type="dxa"/>
              <w:end w:w="80" w:type="dxa"/>
            </w:tcMar>
          </w:tcPr>
          <w:p>
            <w:pPr>
              <w:pStyle w:val="TableText"/>
            </w:pPr>
            <w:r>
              <w:t>Policy monitor</w:t>
            </w:r>
          </w:p>
        </w:tc>
        <w:tc>
          <w:tcPr>
            <w:tcW w:type="dxa" w:w="5040"/>
            <w:tcMar>
              <w:top w:w="60" w:type="dxa"/>
              <w:start w:w="80" w:type="dxa"/>
              <w:bottom w:w="60" w:type="dxa"/>
              <w:end w:w="80" w:type="dxa"/>
            </w:tcMar>
          </w:tcPr>
          <w:p>
            <w:pPr>
              <w:pStyle w:val="TableText"/>
            </w:pPr>
            <w:r>
              <w:t>violations, overrides, and approval logic</w:t>
            </w:r>
          </w:p>
        </w:tc>
      </w:tr>
      <w:tr>
        <w:tc>
          <w:tcPr>
            <w:tcW w:type="dxa" w:w="5040"/>
            <w:tcMar>
              <w:top w:w="60" w:type="dxa"/>
              <w:start w:w="80" w:type="dxa"/>
              <w:bottom w:w="60" w:type="dxa"/>
              <w:end w:w="80" w:type="dxa"/>
            </w:tcMar>
          </w:tcPr>
          <w:p>
            <w:pPr>
              <w:pStyle w:val="TableText"/>
            </w:pPr>
            <w:r>
              <w:t>Investigation workspace</w:t>
            </w:r>
          </w:p>
        </w:tc>
        <w:tc>
          <w:tcPr>
            <w:tcW w:type="dxa" w:w="5040"/>
            <w:tcMar>
              <w:top w:w="60" w:type="dxa"/>
              <w:start w:w="80" w:type="dxa"/>
              <w:bottom w:w="60" w:type="dxa"/>
              <w:end w:w="80" w:type="dxa"/>
            </w:tcMar>
          </w:tcPr>
          <w:p>
            <w:pPr>
              <w:pStyle w:val="TableText"/>
            </w:pPr>
            <w:r>
              <w:t>replay-driven investigation and audit notes</w:t>
            </w:r>
          </w:p>
        </w:tc>
      </w:tr>
    </w:tbl>
    <w:p>
      <w:pPr>
        <w:pStyle w:val="Heading1"/>
      </w:pPr>
      <w:r>
        <w:t>7. Secondary concepts to design next</w:t>
      </w:r>
    </w:p>
    <w:p>
      <w:pPr>
        <w:pStyle w:val="ListBullet"/>
        <w:ind w:left="0"/>
      </w:pPr>
      <w:r>
        <w:t>Backtest lab with assumptions panel and result comparison</w:t>
      </w:r>
    </w:p>
    <w:p>
      <w:pPr>
        <w:pStyle w:val="ListBullet"/>
        <w:ind w:left="0"/>
      </w:pPr>
      <w:r>
        <w:t>Paper portfolio review with proposal staging and drift alerts</w:t>
      </w:r>
    </w:p>
    <w:p>
      <w:pPr>
        <w:pStyle w:val="ListBullet"/>
        <w:ind w:left="0"/>
      </w:pPr>
      <w:r>
        <w:t>Replay investigator timeline with artifact side panel</w:t>
      </w:r>
    </w:p>
    <w:p>
      <w:pPr>
        <w:pStyle w:val="ListBullet"/>
        <w:ind w:left="0"/>
      </w:pPr>
      <w:r>
        <w:t>Universe management with screening, tagging, and saved cohorts</w:t>
      </w:r>
    </w:p>
    <w:p>
      <w:pPr>
        <w:pStyle w:val="Heading1"/>
      </w:pPr>
      <w:r>
        <w:t>8. Wireframe acceptance checklist</w:t>
      </w:r>
    </w:p>
    <w:tbl>
      <w:tblPr>
        <w:tblStyle w:val="TableGrid"/>
        <w:tblW w:type="auto" w:w="0"/>
        <w:jc w:val="center"/>
        <w:tblLook w:firstColumn="1" w:firstRow="1" w:lastColumn="0" w:lastRow="0" w:noHBand="0" w:noVBand="1" w:val="04A0"/>
      </w:tblPr>
      <w:tblGrid>
        <w:gridCol w:w="5040"/>
        <w:gridCol w:w="5040"/>
      </w:tblGrid>
      <w:tr>
        <w:tc>
          <w:tcPr>
            <w:tcW w:type="dxa" w:w="5040"/>
            <w:shd w:fill="DCE6F1"/>
            <w:tcMar>
              <w:top w:w="60" w:type="dxa"/>
              <w:start w:w="80" w:type="dxa"/>
              <w:bottom w:w="60" w:type="dxa"/>
              <w:end w:w="80" w:type="dxa"/>
            </w:tcMar>
          </w:tcPr>
          <w:p>
            <w:pPr>
              <w:pStyle w:val="TableText"/>
            </w:pPr>
            <w:r>
              <w:t>Question</w:t>
            </w:r>
          </w:p>
        </w:tc>
        <w:tc>
          <w:tcPr>
            <w:tcW w:type="dxa" w:w="5040"/>
            <w:shd w:fill="DCE6F1"/>
            <w:tcMar>
              <w:top w:w="60" w:type="dxa"/>
              <w:start w:w="80" w:type="dxa"/>
              <w:bottom w:w="60" w:type="dxa"/>
              <w:end w:w="80" w:type="dxa"/>
            </w:tcMar>
          </w:tcPr>
          <w:p>
            <w:pPr>
              <w:pStyle w:val="TableText"/>
            </w:pPr>
            <w:r>
              <w:t>Pass condition</w:t>
            </w:r>
          </w:p>
        </w:tc>
      </w:tr>
      <w:tr>
        <w:tc>
          <w:tcPr>
            <w:tcW w:type="dxa" w:w="5040"/>
            <w:tcMar>
              <w:top w:w="60" w:type="dxa"/>
              <w:start w:w="80" w:type="dxa"/>
              <w:bottom w:w="60" w:type="dxa"/>
              <w:end w:w="80" w:type="dxa"/>
            </w:tcMar>
          </w:tcPr>
          <w:p>
            <w:pPr>
              <w:pStyle w:val="TableText"/>
            </w:pPr>
            <w:r>
              <w:t>Is the recommendation visible without scrolling on core screens?</w:t>
            </w:r>
          </w:p>
        </w:tc>
        <w:tc>
          <w:tcPr>
            <w:tcW w:type="dxa" w:w="5040"/>
            <w:tcMar>
              <w:top w:w="60" w:type="dxa"/>
              <w:start w:w="80" w:type="dxa"/>
              <w:bottom w:w="60" w:type="dxa"/>
              <w:end w:w="80" w:type="dxa"/>
            </w:tcMar>
          </w:tcPr>
          <w:p>
            <w:pPr>
              <w:pStyle w:val="TableText"/>
            </w:pPr>
            <w:r>
              <w:t>yes</w:t>
            </w:r>
          </w:p>
        </w:tc>
      </w:tr>
      <w:tr>
        <w:tc>
          <w:tcPr>
            <w:tcW w:type="dxa" w:w="5040"/>
            <w:tcMar>
              <w:top w:w="60" w:type="dxa"/>
              <w:start w:w="80" w:type="dxa"/>
              <w:bottom w:w="60" w:type="dxa"/>
              <w:end w:w="80" w:type="dxa"/>
            </w:tcMar>
          </w:tcPr>
          <w:p>
            <w:pPr>
              <w:pStyle w:val="TableText"/>
            </w:pPr>
            <w:r>
              <w:t>Can the user challenge assumptions without losing the baseline?</w:t>
            </w:r>
          </w:p>
        </w:tc>
        <w:tc>
          <w:tcPr>
            <w:tcW w:type="dxa" w:w="5040"/>
            <w:tcMar>
              <w:top w:w="60" w:type="dxa"/>
              <w:start w:w="80" w:type="dxa"/>
              <w:bottom w:w="60" w:type="dxa"/>
              <w:end w:w="80" w:type="dxa"/>
            </w:tcMar>
          </w:tcPr>
          <w:p>
            <w:pPr>
              <w:pStyle w:val="TableText"/>
            </w:pPr>
            <w:r>
              <w:t>yes</w:t>
            </w:r>
          </w:p>
        </w:tc>
      </w:tr>
      <w:tr>
        <w:tc>
          <w:tcPr>
            <w:tcW w:type="dxa" w:w="5040"/>
            <w:tcMar>
              <w:top w:w="60" w:type="dxa"/>
              <w:start w:w="80" w:type="dxa"/>
              <w:bottom w:w="60" w:type="dxa"/>
              <w:end w:w="80" w:type="dxa"/>
            </w:tcMar>
          </w:tcPr>
          <w:p>
            <w:pPr>
              <w:pStyle w:val="TableText"/>
            </w:pPr>
            <w:r>
              <w:t>Do admin screens remain visually related to user screens?</w:t>
            </w:r>
          </w:p>
        </w:tc>
        <w:tc>
          <w:tcPr>
            <w:tcW w:type="dxa" w:w="5040"/>
            <w:tcMar>
              <w:top w:w="60" w:type="dxa"/>
              <w:start w:w="80" w:type="dxa"/>
              <w:bottom w:w="60" w:type="dxa"/>
              <w:end w:w="80" w:type="dxa"/>
            </w:tcMar>
          </w:tcPr>
          <w:p>
            <w:pPr>
              <w:pStyle w:val="TableText"/>
            </w:pPr>
            <w:r>
              <w:t>yes</w:t>
            </w:r>
          </w:p>
        </w:tc>
      </w:tr>
      <w:tr>
        <w:tc>
          <w:tcPr>
            <w:tcW w:type="dxa" w:w="5040"/>
            <w:tcMar>
              <w:top w:w="60" w:type="dxa"/>
              <w:start w:w="80" w:type="dxa"/>
              <w:bottom w:w="60" w:type="dxa"/>
              <w:end w:w="80" w:type="dxa"/>
            </w:tcMar>
          </w:tcPr>
          <w:p>
            <w:pPr>
              <w:pStyle w:val="TableText"/>
            </w:pPr>
            <w:r>
              <w:t>Does mobile preserve trust signals instead of hiding them?</w:t>
            </w:r>
          </w:p>
        </w:tc>
        <w:tc>
          <w:tcPr>
            <w:tcW w:type="dxa" w:w="5040"/>
            <w:tcMar>
              <w:top w:w="60" w:type="dxa"/>
              <w:start w:w="80" w:type="dxa"/>
              <w:bottom w:w="60" w:type="dxa"/>
              <w:end w:w="80" w:type="dxa"/>
            </w:tcMar>
          </w:tcPr>
          <w:p>
            <w:pPr>
              <w:pStyle w:val="TableText"/>
            </w:pPr>
            <w:r>
              <w:t>yes</w:t>
            </w:r>
          </w:p>
        </w:tc>
      </w:tr>
    </w:tbl>
    <w:p>
      <w:pPr>
        <w:pStyle w:val="Heading1"/>
      </w:pPr>
      <w:r>
        <w:t>9. Engineering handoff annotations</w:t>
      </w:r>
    </w:p>
    <w:p>
      <w:r>
        <w:t>The wireframes should be read as layout and behavior contracts rather than visual suggestions only. During implementation the following annotations must stay attached to each core screen concept.</w:t>
      </w:r>
    </w:p>
    <w:tbl>
      <w:tblPr>
        <w:tblStyle w:val="TableGrid"/>
        <w:tblW w:type="auto" w:w="0"/>
        <w:tblLook w:firstColumn="1" w:firstRow="1" w:lastColumn="0" w:lastRow="0" w:noHBand="0" w:noVBand="1" w:val="04A0"/>
      </w:tblPr>
      <w:tblGrid>
        <w:gridCol w:w="3360"/>
        <w:gridCol w:w="3360"/>
        <w:gridCol w:w="3360"/>
      </w:tblGrid>
      <w:tr>
        <w:tc>
          <w:tcPr>
            <w:tcW w:type="dxa" w:w="3360"/>
            <w:shd w:fill="DCE6F1"/>
            <w:tcMar>
              <w:top w:w="60" w:type="dxa"/>
              <w:start w:w="80" w:type="dxa"/>
              <w:bottom w:w="60" w:type="dxa"/>
              <w:end w:w="80" w:type="dxa"/>
            </w:tcMar>
          </w:tcPr>
          <w:p>
            <w:pPr>
              <w:pStyle w:val="TableText"/>
            </w:pPr>
            <w:r>
              <w:t>Annotation type</w:t>
            </w:r>
          </w:p>
        </w:tc>
        <w:tc>
          <w:tcPr>
            <w:tcW w:type="dxa" w:w="3360"/>
            <w:shd w:fill="DCE6F1"/>
            <w:tcMar>
              <w:top w:w="60" w:type="dxa"/>
              <w:start w:w="80" w:type="dxa"/>
              <w:bottom w:w="60" w:type="dxa"/>
              <w:end w:w="80" w:type="dxa"/>
            </w:tcMar>
          </w:tcPr>
          <w:p>
            <w:pPr>
              <w:pStyle w:val="TableText"/>
            </w:pPr>
            <w:r>
              <w:t>Examples</w:t>
            </w:r>
          </w:p>
        </w:tc>
        <w:tc>
          <w:tcPr>
            <w:tcW w:type="dxa" w:w="3360"/>
            <w:shd w:fill="DCE6F1"/>
            <w:tcMar>
              <w:top w:w="60" w:type="dxa"/>
              <w:start w:w="80" w:type="dxa"/>
              <w:bottom w:w="60" w:type="dxa"/>
              <w:end w:w="80" w:type="dxa"/>
            </w:tcMar>
          </w:tcPr>
          <w:p>
            <w:pPr>
              <w:pStyle w:val="TableText"/>
            </w:pPr>
            <w:r>
              <w:t>Why it must exist</w:t>
            </w:r>
          </w:p>
        </w:tc>
      </w:tr>
      <w:tr>
        <w:tc>
          <w:tcPr>
            <w:tcW w:type="dxa" w:w="3360"/>
            <w:tcMar>
              <w:top w:w="60" w:type="dxa"/>
              <w:start w:w="80" w:type="dxa"/>
              <w:bottom w:w="60" w:type="dxa"/>
              <w:end w:w="80" w:type="dxa"/>
            </w:tcMar>
          </w:tcPr>
          <w:p>
            <w:pPr>
              <w:pStyle w:val="TableText"/>
            </w:pPr>
            <w:r>
              <w:t>Persistent context</w:t>
            </w:r>
          </w:p>
        </w:tc>
        <w:tc>
          <w:tcPr>
            <w:tcW w:type="dxa" w:w="3360"/>
            <w:tcMar>
              <w:top w:w="60" w:type="dxa"/>
              <w:start w:w="80" w:type="dxa"/>
              <w:bottom w:w="60" w:type="dxa"/>
              <w:end w:w="80" w:type="dxa"/>
            </w:tcMar>
          </w:tcPr>
          <w:p>
            <w:pPr>
              <w:pStyle w:val="TableText"/>
            </w:pPr>
            <w:r>
              <w:t>selected recommendation, scenario values, current horizon</w:t>
            </w:r>
          </w:p>
        </w:tc>
        <w:tc>
          <w:tcPr>
            <w:tcW w:type="dxa" w:w="3360"/>
            <w:tcMar>
              <w:top w:w="60" w:type="dxa"/>
              <w:start w:w="80" w:type="dxa"/>
              <w:bottom w:w="60" w:type="dxa"/>
              <w:end w:w="80" w:type="dxa"/>
            </w:tcMar>
          </w:tcPr>
          <w:p>
            <w:pPr>
              <w:pStyle w:val="TableText"/>
            </w:pPr>
            <w:r>
              <w:t>prevents accidental loss of state across panels and routes</w:t>
            </w:r>
          </w:p>
        </w:tc>
      </w:tr>
      <w:tr>
        <w:tc>
          <w:tcPr>
            <w:tcW w:type="dxa" w:w="3360"/>
            <w:tcMar>
              <w:top w:w="60" w:type="dxa"/>
              <w:start w:w="80" w:type="dxa"/>
              <w:bottom w:w="60" w:type="dxa"/>
              <w:end w:w="80" w:type="dxa"/>
            </w:tcMar>
          </w:tcPr>
          <w:p>
            <w:pPr>
              <w:pStyle w:val="TableText"/>
            </w:pPr>
            <w:r>
              <w:t>Deferred loading</w:t>
            </w:r>
          </w:p>
        </w:tc>
        <w:tc>
          <w:tcPr>
            <w:tcW w:type="dxa" w:w="3360"/>
            <w:tcMar>
              <w:top w:w="60" w:type="dxa"/>
              <w:start w:w="80" w:type="dxa"/>
              <w:bottom w:w="60" w:type="dxa"/>
              <w:end w:w="80" w:type="dxa"/>
            </w:tcMar>
          </w:tcPr>
          <w:p>
            <w:pPr>
              <w:pStyle w:val="TableText"/>
            </w:pPr>
            <w:r>
              <w:t>comparison details, long histories, extended evidence</w:t>
            </w:r>
          </w:p>
        </w:tc>
        <w:tc>
          <w:tcPr>
            <w:tcW w:type="dxa" w:w="3360"/>
            <w:tcMar>
              <w:top w:w="60" w:type="dxa"/>
              <w:start w:w="80" w:type="dxa"/>
              <w:bottom w:w="60" w:type="dxa"/>
              <w:end w:w="80" w:type="dxa"/>
            </w:tcMar>
          </w:tcPr>
          <w:p>
            <w:pPr>
              <w:pStyle w:val="TableText"/>
            </w:pPr>
            <w:r>
              <w:t>keeps first render fast while preserving depth</w:t>
            </w:r>
          </w:p>
        </w:tc>
      </w:tr>
      <w:tr>
        <w:tc>
          <w:tcPr>
            <w:tcW w:type="dxa" w:w="3360"/>
            <w:tcMar>
              <w:top w:w="60" w:type="dxa"/>
              <w:start w:w="80" w:type="dxa"/>
              <w:bottom w:w="60" w:type="dxa"/>
              <w:end w:w="80" w:type="dxa"/>
            </w:tcMar>
          </w:tcPr>
          <w:p>
            <w:pPr>
              <w:pStyle w:val="TableText"/>
            </w:pPr>
            <w:r>
              <w:t>Role-aware actions</w:t>
            </w:r>
          </w:p>
        </w:tc>
        <w:tc>
          <w:tcPr>
            <w:tcW w:type="dxa" w:w="3360"/>
            <w:tcMar>
              <w:top w:w="60" w:type="dxa"/>
              <w:start w:w="80" w:type="dxa"/>
              <w:bottom w:w="60" w:type="dxa"/>
              <w:end w:w="80" w:type="dxa"/>
            </w:tcMar>
          </w:tcPr>
          <w:p>
            <w:pPr>
              <w:pStyle w:val="TableText"/>
            </w:pPr>
            <w:r>
              <w:t>publish, hold, rollback, policy override</w:t>
            </w:r>
          </w:p>
        </w:tc>
        <w:tc>
          <w:tcPr>
            <w:tcW w:type="dxa" w:w="3360"/>
            <w:tcMar>
              <w:top w:w="60" w:type="dxa"/>
              <w:start w:w="80" w:type="dxa"/>
              <w:bottom w:w="60" w:type="dxa"/>
              <w:end w:w="80" w:type="dxa"/>
            </w:tcMar>
          </w:tcPr>
          <w:p>
            <w:pPr>
              <w:pStyle w:val="TableText"/>
            </w:pPr>
            <w:r>
              <w:t>avoids shipping user-only assumptions into operator routes</w:t>
            </w:r>
          </w:p>
        </w:tc>
      </w:tr>
      <w:tr>
        <w:tc>
          <w:tcPr>
            <w:tcW w:type="dxa" w:w="3360"/>
            <w:tcMar>
              <w:top w:w="60" w:type="dxa"/>
              <w:start w:w="80" w:type="dxa"/>
              <w:bottom w:w="60" w:type="dxa"/>
              <w:end w:w="80" w:type="dxa"/>
            </w:tcMar>
          </w:tcPr>
          <w:p>
            <w:pPr>
              <w:pStyle w:val="TableText"/>
            </w:pPr>
            <w:r>
              <w:t>Fallback rendering</w:t>
            </w:r>
          </w:p>
        </w:tc>
        <w:tc>
          <w:tcPr>
            <w:tcW w:type="dxa" w:w="3360"/>
            <w:tcMar>
              <w:top w:w="60" w:type="dxa"/>
              <w:start w:w="80" w:type="dxa"/>
              <w:bottom w:w="60" w:type="dxa"/>
              <w:end w:w="80" w:type="dxa"/>
            </w:tcMar>
          </w:tcPr>
          <w:p>
            <w:pPr>
              <w:pStyle w:val="TableText"/>
            </w:pPr>
            <w:r>
              <w:t>missing chart data, unavailable attribution, stale inputs</w:t>
            </w:r>
          </w:p>
        </w:tc>
        <w:tc>
          <w:tcPr>
            <w:tcW w:type="dxa" w:w="3360"/>
            <w:tcMar>
              <w:top w:w="60" w:type="dxa"/>
              <w:start w:w="80" w:type="dxa"/>
              <w:bottom w:w="60" w:type="dxa"/>
              <w:end w:w="80" w:type="dxa"/>
            </w:tcMar>
          </w:tcPr>
          <w:p>
            <w:pPr>
              <w:pStyle w:val="TableText"/>
            </w:pPr>
            <w:r>
              <w:t>prevents blank analytical surfaces</w:t>
            </w:r>
          </w:p>
        </w:tc>
      </w:tr>
    </w:tbl>
    <w:p>
      <w:pPr>
        <w:pStyle w:val="Heading1"/>
      </w:pPr>
      <w:r>
        <w:t>10. Responsive adaptation matrix</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CE6F1"/>
            <w:tcMar>
              <w:top w:w="60" w:type="dxa"/>
              <w:start w:w="80" w:type="dxa"/>
              <w:bottom w:w="60" w:type="dxa"/>
              <w:end w:w="80" w:type="dxa"/>
            </w:tcMar>
          </w:tcPr>
          <w:p>
            <w:pPr>
              <w:pStyle w:val="TableText"/>
            </w:pPr>
            <w:r>
              <w:t>Screen concept</w:t>
            </w:r>
          </w:p>
        </w:tc>
        <w:tc>
          <w:tcPr>
            <w:tcW w:type="dxa" w:w="2520"/>
            <w:shd w:fill="DCE6F1"/>
            <w:tcMar>
              <w:top w:w="60" w:type="dxa"/>
              <w:start w:w="80" w:type="dxa"/>
              <w:bottom w:w="60" w:type="dxa"/>
              <w:end w:w="80" w:type="dxa"/>
            </w:tcMar>
          </w:tcPr>
          <w:p>
            <w:pPr>
              <w:pStyle w:val="TableText"/>
            </w:pPr>
            <w:r>
              <w:t>Desktop priority</w:t>
            </w:r>
          </w:p>
        </w:tc>
        <w:tc>
          <w:tcPr>
            <w:tcW w:type="dxa" w:w="2520"/>
            <w:shd w:fill="DCE6F1"/>
            <w:tcMar>
              <w:top w:w="60" w:type="dxa"/>
              <w:start w:w="80" w:type="dxa"/>
              <w:bottom w:w="60" w:type="dxa"/>
              <w:end w:w="80" w:type="dxa"/>
            </w:tcMar>
          </w:tcPr>
          <w:p>
            <w:pPr>
              <w:pStyle w:val="TableText"/>
            </w:pPr>
            <w:r>
              <w:t>Tablet adaptation</w:t>
            </w:r>
          </w:p>
        </w:tc>
        <w:tc>
          <w:tcPr>
            <w:tcW w:type="dxa" w:w="2520"/>
            <w:shd w:fill="DCE6F1"/>
            <w:tcMar>
              <w:top w:w="60" w:type="dxa"/>
              <w:start w:w="80" w:type="dxa"/>
              <w:bottom w:w="60" w:type="dxa"/>
              <w:end w:w="80" w:type="dxa"/>
            </w:tcMar>
          </w:tcPr>
          <w:p>
            <w:pPr>
              <w:pStyle w:val="TableText"/>
            </w:pPr>
            <w:r>
              <w:t>Mobile adaptation</w:t>
            </w:r>
          </w:p>
        </w:tc>
      </w:tr>
      <w:tr>
        <w:tc>
          <w:tcPr>
            <w:tcW w:type="dxa" w:w="2520"/>
            <w:tcMar>
              <w:top w:w="60" w:type="dxa"/>
              <w:start w:w="80" w:type="dxa"/>
              <w:bottom w:w="60" w:type="dxa"/>
              <w:end w:w="80" w:type="dxa"/>
            </w:tcMar>
          </w:tcPr>
          <w:p>
            <w:pPr>
              <w:pStyle w:val="TableText"/>
            </w:pPr>
            <w:r>
              <w:t>Decision workspace</w:t>
            </w:r>
          </w:p>
        </w:tc>
        <w:tc>
          <w:tcPr>
            <w:tcW w:type="dxa" w:w="2520"/>
            <w:tcMar>
              <w:top w:w="60" w:type="dxa"/>
              <w:start w:w="80" w:type="dxa"/>
              <w:bottom w:w="60" w:type="dxa"/>
              <w:end w:w="80" w:type="dxa"/>
            </w:tcMar>
          </w:tcPr>
          <w:p>
            <w:pPr>
              <w:pStyle w:val="TableText"/>
            </w:pPr>
            <w:r>
              <w:t>three-zone layout</w:t>
            </w:r>
          </w:p>
        </w:tc>
        <w:tc>
          <w:tcPr>
            <w:tcW w:type="dxa" w:w="2520"/>
            <w:tcMar>
              <w:top w:w="60" w:type="dxa"/>
              <w:start w:w="80" w:type="dxa"/>
              <w:bottom w:w="60" w:type="dxa"/>
              <w:end w:w="80" w:type="dxa"/>
            </w:tcMar>
          </w:tcPr>
          <w:p>
            <w:pPr>
              <w:pStyle w:val="TableText"/>
            </w:pPr>
            <w:r>
              <w:t>context rail may collapse</w:t>
            </w:r>
          </w:p>
        </w:tc>
        <w:tc>
          <w:tcPr>
            <w:tcW w:type="dxa" w:w="2520"/>
            <w:tcMar>
              <w:top w:w="60" w:type="dxa"/>
              <w:start w:w="80" w:type="dxa"/>
              <w:bottom w:w="60" w:type="dxa"/>
              <w:end w:w="80" w:type="dxa"/>
            </w:tcMar>
          </w:tcPr>
          <w:p>
            <w:pPr>
              <w:pStyle w:val="TableText"/>
            </w:pPr>
            <w:r>
              <w:t>context becomes bottom sheet</w:t>
            </w:r>
          </w:p>
        </w:tc>
      </w:tr>
      <w:tr>
        <w:tc>
          <w:tcPr>
            <w:tcW w:type="dxa" w:w="2520"/>
            <w:tcMar>
              <w:top w:w="60" w:type="dxa"/>
              <w:start w:w="80" w:type="dxa"/>
              <w:bottom w:w="60" w:type="dxa"/>
              <w:end w:w="80" w:type="dxa"/>
            </w:tcMar>
          </w:tcPr>
          <w:p>
            <w:pPr>
              <w:pStyle w:val="TableText"/>
            </w:pPr>
            <w:r>
              <w:t>Comparison workspace</w:t>
            </w:r>
          </w:p>
        </w:tc>
        <w:tc>
          <w:tcPr>
            <w:tcW w:type="dxa" w:w="2520"/>
            <w:tcMar>
              <w:top w:w="60" w:type="dxa"/>
              <w:start w:w="80" w:type="dxa"/>
              <w:bottom w:w="60" w:type="dxa"/>
              <w:end w:w="80" w:type="dxa"/>
            </w:tcMar>
          </w:tcPr>
          <w:p>
            <w:pPr>
              <w:pStyle w:val="TableText"/>
            </w:pPr>
            <w:r>
              <w:t>matrix plus synthesis panel</w:t>
            </w:r>
          </w:p>
        </w:tc>
        <w:tc>
          <w:tcPr>
            <w:tcW w:type="dxa" w:w="2520"/>
            <w:tcMar>
              <w:top w:w="60" w:type="dxa"/>
              <w:start w:w="80" w:type="dxa"/>
              <w:bottom w:w="60" w:type="dxa"/>
              <w:end w:w="80" w:type="dxa"/>
            </w:tcMar>
          </w:tcPr>
          <w:p>
            <w:pPr>
              <w:pStyle w:val="TableText"/>
            </w:pPr>
            <w:r>
              <w:t>matrix can scroll horizontally</w:t>
            </w:r>
          </w:p>
        </w:tc>
        <w:tc>
          <w:tcPr>
            <w:tcW w:type="dxa" w:w="2520"/>
            <w:tcMar>
              <w:top w:w="60" w:type="dxa"/>
              <w:start w:w="80" w:type="dxa"/>
              <w:bottom w:w="60" w:type="dxa"/>
              <w:end w:w="80" w:type="dxa"/>
            </w:tcMar>
          </w:tcPr>
          <w:p>
            <w:pPr>
              <w:pStyle w:val="TableText"/>
            </w:pPr>
            <w:r>
              <w:t>accordion rows with synthesis summary</w:t>
            </w:r>
          </w:p>
        </w:tc>
      </w:tr>
      <w:tr>
        <w:tc>
          <w:tcPr>
            <w:tcW w:type="dxa" w:w="2520"/>
            <w:tcMar>
              <w:top w:w="60" w:type="dxa"/>
              <w:start w:w="80" w:type="dxa"/>
              <w:bottom w:w="60" w:type="dxa"/>
              <w:end w:w="80" w:type="dxa"/>
            </w:tcMar>
          </w:tcPr>
          <w:p>
            <w:pPr>
              <w:pStyle w:val="TableText"/>
            </w:pPr>
            <w:r>
              <w:t>Admin workspace</w:t>
            </w:r>
          </w:p>
        </w:tc>
        <w:tc>
          <w:tcPr>
            <w:tcW w:type="dxa" w:w="2520"/>
            <w:tcMar>
              <w:top w:w="60" w:type="dxa"/>
              <w:start w:w="80" w:type="dxa"/>
              <w:bottom w:w="60" w:type="dxa"/>
              <w:end w:w="80" w:type="dxa"/>
            </w:tcMar>
          </w:tcPr>
          <w:p>
            <w:pPr>
              <w:pStyle w:val="TableText"/>
            </w:pPr>
            <w:r>
              <w:t>parallel modules visible</w:t>
            </w:r>
          </w:p>
        </w:tc>
        <w:tc>
          <w:tcPr>
            <w:tcW w:type="dxa" w:w="2520"/>
            <w:tcMar>
              <w:top w:w="60" w:type="dxa"/>
              <w:start w:w="80" w:type="dxa"/>
              <w:bottom w:w="60" w:type="dxa"/>
              <w:end w:w="80" w:type="dxa"/>
            </w:tcMar>
          </w:tcPr>
          <w:p>
            <w:pPr>
              <w:pStyle w:val="TableText"/>
            </w:pPr>
            <w:r>
              <w:t>secondary modules stack lower</w:t>
            </w:r>
          </w:p>
        </w:tc>
        <w:tc>
          <w:tcPr>
            <w:tcW w:type="dxa" w:w="2520"/>
            <w:tcMar>
              <w:top w:w="60" w:type="dxa"/>
              <w:start w:w="80" w:type="dxa"/>
              <w:bottom w:w="60" w:type="dxa"/>
              <w:end w:w="80" w:type="dxa"/>
            </w:tcMar>
          </w:tcPr>
          <w:p>
            <w:pPr>
              <w:pStyle w:val="TableText"/>
            </w:pPr>
            <w:r>
              <w:t>critical queue and incident modules only</w:t>
            </w:r>
          </w:p>
        </w:tc>
      </w:tr>
    </w:tbl>
    <w:p>
      <w:pPr>
        <w:pStyle w:val="Heading1"/>
      </w:pPr>
      <w:r>
        <w:t>11. Screen concept sign-off criteria</w:t>
      </w:r>
    </w:p>
    <w:p>
      <w:pPr>
        <w:pStyle w:val="ListBullet"/>
      </w:pPr>
      <w:r>
        <w:t>A designer and engineer should be able to agree on component boundaries from the wireframes alone.</w:t>
      </w:r>
    </w:p>
    <w:p>
      <w:pPr>
        <w:pStyle w:val="ListBullet"/>
      </w:pPr>
      <w:r>
        <w:t>A product reviewer should be able to point to the primary action on every concept screen without guessing.</w:t>
      </w:r>
    </w:p>
    <w:p>
      <w:pPr>
        <w:pStyle w:val="ListBullet"/>
      </w:pPr>
      <w:r>
        <w:t>Every concept should make degraded and empty states plausible, even if not all are drawn directly on the wireframe.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Small"/>
    <w:basedOn w:val="Normal"/>
    <w:rPr>
      <w:rFonts w:ascii="Aptos" w:hAnsi="Aptos"/>
      <w:sz w:val="18"/>
    </w:rPr>
  </w:style>
  <w:style w:type="paragraph" w:customStyle="1" w:styleId="TableText">
    <w:name w:val="TableText"/>
    <w:basedOn w:val="Norma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