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8D" w:rsidRPr="009A20C2" w:rsidRDefault="00A33056" w:rsidP="009E406B">
      <w:pPr>
        <w:jc w:val="center"/>
        <w:rPr>
          <w:b/>
          <w:sz w:val="28"/>
          <w:szCs w:val="28"/>
          <w:u w:val="single"/>
        </w:rPr>
      </w:pPr>
      <w:r w:rsidRPr="009A20C2">
        <w:rPr>
          <w:b/>
          <w:sz w:val="28"/>
          <w:szCs w:val="28"/>
          <w:u w:val="single"/>
        </w:rPr>
        <w:t xml:space="preserve">Species present in </w:t>
      </w:r>
      <w:proofErr w:type="spellStart"/>
      <w:r w:rsidR="009A20C2">
        <w:rPr>
          <w:b/>
          <w:sz w:val="28"/>
          <w:szCs w:val="28"/>
          <w:u w:val="single"/>
        </w:rPr>
        <w:t>Broadbalk</w:t>
      </w:r>
      <w:proofErr w:type="spellEnd"/>
      <w:r w:rsidR="009A20C2">
        <w:rPr>
          <w:b/>
          <w:sz w:val="28"/>
          <w:szCs w:val="28"/>
          <w:u w:val="single"/>
        </w:rPr>
        <w:t xml:space="preserve"> </w:t>
      </w:r>
      <w:r w:rsidRPr="009A20C2">
        <w:rPr>
          <w:b/>
          <w:sz w:val="28"/>
          <w:szCs w:val="28"/>
          <w:u w:val="single"/>
        </w:rPr>
        <w:t>stubble September 1869</w:t>
      </w:r>
    </w:p>
    <w:p w:rsidR="009A20C2" w:rsidRDefault="009A20C2">
      <w:pPr>
        <w:rPr>
          <w:i/>
        </w:rPr>
      </w:pP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Agrostis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tenuis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Alopecurus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myosuroides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Anagallis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Anthemis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cotula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Capsella</w:t>
      </w:r>
      <w:proofErr w:type="spellEnd"/>
      <w:r w:rsidRPr="003430A1">
        <w:rPr>
          <w:i/>
        </w:rPr>
        <w:t xml:space="preserve"> bursa-</w:t>
      </w:r>
      <w:proofErr w:type="spellStart"/>
      <w:r w:rsidRPr="003430A1">
        <w:rPr>
          <w:i/>
        </w:rPr>
        <w:t>pastoris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Cirsium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Convulvulus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Equisetum </w:t>
      </w:r>
      <w:proofErr w:type="spellStart"/>
      <w:r w:rsidRPr="003430A1">
        <w:rPr>
          <w:i/>
        </w:rPr>
        <w:t>arvense</w:t>
      </w:r>
      <w:bookmarkStart w:id="0" w:name="_GoBack"/>
      <w:bookmarkEnd w:id="0"/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Knautia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Myostis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lanceolata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major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Polygonum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lanceolata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major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Polygonum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aviculare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Ranunculus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repens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Rumex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obtusifolius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Senecio</w:t>
      </w:r>
      <w:proofErr w:type="spellEnd"/>
      <w:r w:rsidRPr="003430A1">
        <w:rPr>
          <w:i/>
        </w:rPr>
        <w:t xml:space="preserve"> vulgaris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Sonchus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Stellaria</w:t>
      </w:r>
      <w:proofErr w:type="spellEnd"/>
      <w:r w:rsidRPr="003430A1">
        <w:rPr>
          <w:i/>
        </w:rPr>
        <w:t xml:space="preserve"> media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Trifolium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pratense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Tussilago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farfara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Veronica </w:t>
      </w:r>
      <w:proofErr w:type="spellStart"/>
      <w:r w:rsidRPr="003430A1">
        <w:rPr>
          <w:i/>
        </w:rPr>
        <w:t>agrestis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Veronica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Viola </w:t>
      </w:r>
      <w:proofErr w:type="spellStart"/>
      <w:r w:rsidRPr="003430A1">
        <w:rPr>
          <w:i/>
        </w:rPr>
        <w:t>arvensis</w:t>
      </w:r>
      <w:proofErr w:type="spellEnd"/>
    </w:p>
    <w:p w:rsidR="00A33056" w:rsidRDefault="003430A1">
      <w:r>
        <w:t xml:space="preserve">25 species (Ref. Weed studies on </w:t>
      </w:r>
      <w:proofErr w:type="spellStart"/>
      <w:r>
        <w:t>Broadbalk</w:t>
      </w:r>
      <w:proofErr w:type="spellEnd"/>
      <w:r>
        <w:t xml:space="preserve"> J.M. Thurston 196</w:t>
      </w:r>
      <w:r w:rsidR="00196CA6">
        <w:t>9</w:t>
      </w:r>
      <w:r>
        <w:t>)</w:t>
      </w:r>
    </w:p>
    <w:sectPr w:rsidR="00A33056" w:rsidSect="00196CA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56"/>
    <w:rsid w:val="00196CA6"/>
    <w:rsid w:val="001F2197"/>
    <w:rsid w:val="003430A1"/>
    <w:rsid w:val="0099238D"/>
    <w:rsid w:val="009A20C2"/>
    <w:rsid w:val="009E406B"/>
    <w:rsid w:val="00A33056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3</cp:revision>
  <dcterms:created xsi:type="dcterms:W3CDTF">2014-01-23T12:21:00Z</dcterms:created>
  <dcterms:modified xsi:type="dcterms:W3CDTF">2014-02-03T17:24:00Z</dcterms:modified>
</cp:coreProperties>
</file>