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TERMINOLOGIES USED IN DESIGN OF EXPERIMENTS </w:t>
      </w:r>
    </w:p>
    <w:p>
      <w:pPr>
        <w:autoSpaceDN w:val="0"/>
        <w:autoSpaceDE w:val="0"/>
        <w:widowControl/>
        <w:spacing w:line="314" w:lineRule="exact" w:before="20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Design of an experiment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Designing an experiment simply means planning an experiment so that the information collected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will be relevant to the problem under investigation. This is therefore the complete sequence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steps taken ahead of time to ensure that the appropriate data will be obtained in a way which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permits objective analysis leading to valid references or conclusions with respect to the stated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problem. This definition shows that the person formulating the design clearly understands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objectives of the proposed investigation or experiment. </w:t>
      </w:r>
    </w:p>
    <w:p>
      <w:pPr>
        <w:autoSpaceDN w:val="0"/>
        <w:autoSpaceDE w:val="0"/>
        <w:widowControl/>
        <w:spacing w:line="310" w:lineRule="exact" w:before="22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Experimental unit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These are objects upon which measurements are taken i.e on which variable understudy 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measured. In an agricultural field experiment, the plot of land will be the experimental unit. In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feeding experiment of cows, the cow is the experimental unit, etc. </w:t>
      </w:r>
    </w:p>
    <w:p>
      <w:pPr>
        <w:autoSpaceDN w:val="0"/>
        <w:autoSpaceDE w:val="0"/>
        <w:widowControl/>
        <w:spacing w:line="314" w:lineRule="exact" w:before="22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Factors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These are independent experimental variables and could be quantitative or qualitative.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quantitative factor is one that can take on values corresponding to points on the real line, factors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that are not quantitative are said to be qualitative. For example height, weight, temperatures are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quantitative factors. Examples of qualitative factors include; car types, manufacturers, halls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residence, sex, they can’t be quantified. </w:t>
      </w:r>
    </w:p>
    <w:p>
      <w:pPr>
        <w:autoSpaceDN w:val="0"/>
        <w:autoSpaceDE w:val="0"/>
        <w:widowControl/>
        <w:spacing w:line="312" w:lineRule="exact" w:before="22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Level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This is the intensity setting of a factor e.g the 3 temperatures 100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℃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, 200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℃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, 300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℃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represent 3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levels of the quantitative factor temperature. Similarly Benz, V/W, BMW, Corolla represent 4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levels of the qualitative factor type. </w:t>
      </w:r>
    </w:p>
    <w:p>
      <w:pPr>
        <w:autoSpaceDN w:val="0"/>
        <w:autoSpaceDE w:val="0"/>
        <w:widowControl/>
        <w:spacing w:line="314" w:lineRule="exact" w:before="22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Treatment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is the specific combination of factor levels. The experiment may involve only a single factor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will therefore have one-way ANOVA. The experiment could also be composed of levels of 2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more factors in which case we have two-way ANOVA......... n-way ANOVA where n is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number of factors. In other words what one does to the experimental unit that makes it differ from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one population to another is called a treatment e.g for one-way ANOVA, n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of treatments = n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levels of a factor. </w:t>
      </w:r>
    </w:p>
    <w:p>
      <w:pPr>
        <w:autoSpaceDN w:val="0"/>
        <w:tabs>
          <w:tab w:pos="360" w:val="left"/>
        </w:tabs>
        <w:autoSpaceDE w:val="0"/>
        <w:widowControl/>
        <w:spacing w:line="284" w:lineRule="exact" w:before="25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Experimental error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is the unexplained random part of the total variation and it is caused by a number of factors,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most important of which are the following;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Variability in experimental units.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Errors associated with the measurements made.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Lack of representativeness of the sample to the population under study.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experimental error provides a basis for the confidence to be placed in the conclusions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inferences about the population so it is important to estimate and control the experimental error. </w:t>
      </w:r>
    </w:p>
    <w:p>
      <w:pPr>
        <w:sectPr>
          <w:pgSz w:w="12240" w:h="15840"/>
          <w:pgMar w:top="706" w:right="1358" w:bottom="780" w:left="1440" w:header="720" w:footer="720" w:gutter="0"/>
          <w:cols w:space="720" w:num="1" w:equalWidth="0"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12" w:lineRule="exact" w:before="22" w:after="120"/>
        <w:ind w:left="0" w:right="100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Replication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treatment is of replication ‘n’ if it is tried on ‘n’ experimental units.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N = rcn , N = rc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42"/>
      </w:tblGrid>
      <w:tr>
        <w:trPr>
          <w:trHeight w:hRule="exact" w:val="4740"/>
        </w:trPr>
        <w:tc>
          <w:tcPr>
            <w:tcW w:type="dxa" w:w="9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6" w:after="0"/>
              <w:ind w:left="0" w:right="518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Advantages of replicating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It makes the experiment more precise. </w:t>
            </w:r>
          </w:p>
          <w:p>
            <w:pPr>
              <w:autoSpaceDN w:val="0"/>
              <w:tabs>
                <w:tab w:pos="1194" w:val="left"/>
                <w:tab w:pos="1272" w:val="left"/>
              </w:tabs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3"/>
              </w:rPr>
              <w:t xml:space="preserve">1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Precision = </w:t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9"/>
              </w:rPr>
              <w:t>2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; reciprocal of the variance of the mean. As n increases, the precision also increases. </w:t>
            </w:r>
          </w:p>
          <w:p>
            <w:pPr>
              <w:autoSpaceDN w:val="0"/>
              <w:tabs>
                <w:tab w:pos="1126" w:val="left"/>
              </w:tabs>
              <w:autoSpaceDE w:val="0"/>
              <w:widowControl/>
              <w:spacing w:line="250" w:lineRule="exact" w:before="40" w:after="0"/>
              <w:ind w:left="0" w:right="4896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3"/>
              </w:rPr>
              <w:t>𝛿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9"/>
              </w:rPr>
              <w:t>𝑥̅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ii)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Replication gives an estimate of the error. 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318" w:lineRule="exact" w:before="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iii)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It guards against accidents and with many replications, the investigator is in position to identify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outliers. </w:t>
            </w:r>
          </w:p>
          <w:p>
            <w:pPr>
              <w:autoSpaceDN w:val="0"/>
              <w:autoSpaceDE w:val="0"/>
              <w:widowControl/>
              <w:spacing w:line="298" w:lineRule="exact" w:before="34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Randomisation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Each individual experimental unit has a known probability of being subjected to each treatment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the advantages include;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It reduces on the bias. 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316" w:lineRule="exact" w:before="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ii)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It helps to increase the induction scope of the experiment i.e the conclusions are made more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powerful. 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316" w:lineRule="exact" w:before="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iii)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We can generate random variables whose distribution we know and it is possible to use the F-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test for all practical purposes. </w:t>
            </w:r>
          </w:p>
        </w:tc>
      </w:tr>
    </w:tbl>
    <w:p>
      <w:pPr>
        <w:autoSpaceDN w:val="0"/>
        <w:autoSpaceDE w:val="0"/>
        <w:widowControl/>
        <w:spacing w:line="312" w:lineRule="exact" w:before="16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Fixed, random and mixed effects/models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 should be noted that in the planning stages of an experiment, the experimenter must decide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whether the levels of factors considered are to be set at fixed values or are to be chosen at random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many possible levels. This will depend on the objectives of the experiment and the question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be asked is: </w:t>
      </w:r>
    </w:p>
    <w:p>
      <w:pPr>
        <w:autoSpaceDN w:val="0"/>
        <w:autoSpaceDE w:val="0"/>
        <w:widowControl/>
        <w:spacing w:line="318" w:lineRule="exact" w:before="20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Are the results to be judged for those levels alone fixed or are they to be extended to more levels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which those in the experiment are a random sample. </w:t>
      </w:r>
    </w:p>
    <w:p>
      <w:pPr>
        <w:autoSpaceDN w:val="0"/>
        <w:autoSpaceDE w:val="0"/>
        <w:widowControl/>
        <w:spacing w:line="318" w:lineRule="exact" w:before="200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the case of quantitative factors such as time, weight, etc it is usually desirable to pick fixed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levels, some at the extremes and some at intermediate points because a random choice might not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cover the range in which the experimenter is interested e.g 0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℃, 100℃, 200℃, 300℃, 400℃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Other factors such as days of the week, halls of residence, locations, etc may often be a small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sample of all possible days, possible halls of residence, etc. In such cases the particular day 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particular hall may not be very important. What is important is whether or not days, halls, etc.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general increase the variability of the experiment. </w:t>
      </w:r>
    </w:p>
    <w:p>
      <w:pPr>
        <w:autoSpaceDN w:val="0"/>
        <w:autoSpaceDE w:val="0"/>
        <w:widowControl/>
        <w:spacing w:line="318" w:lineRule="exact" w:before="198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Once the decision has been made as to whether to consider the levels random or fixed, if random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levels are to be used then they must be chosen from all possible levels by a random process. When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all levels are fixed, the mathematical model of the process is called a fixed model. When all levels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are chosen at random, then we have a random model. When more than one factor is involved, some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factors may be at fixed levels and others at random levels and the model would be a mixed model.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Suppose we have a single factor experiment, the model is; </w:t>
      </w:r>
    </w:p>
    <w:p>
      <w:pPr>
        <w:sectPr>
          <w:pgSz w:w="12240" w:h="15840"/>
          <w:pgMar w:top="706" w:right="1358" w:bottom="916" w:left="1440" w:header="720" w:footer="720" w:gutter="0"/>
          <w:cols w:space="720" w:num="1" w:equalWidth="0"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108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2"/>
        </w:rPr>
        <w:t>𝑦</w:t>
      </w:r>
      <w:r/>
    </w:p>
    <w:sectPr w:rsidR="00FC693F" w:rsidRPr="0006063C" w:rsidSect="00034616">
      <w:pgSz w:w="12240" w:h="15840"/>
      <w:pgMar w:top="748" w:right="1358" w:bottom="1440" w:left="1440" w:header="720" w:footer="720" w:gutter="0"/>
      <w:cols w:space="720" w:num="1" w:equalWidth="0">
        <w:col w:w="9442" w:space="0"/>
        <w:col w:w="9442" w:space="0"/>
        <w:col w:w="9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