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RANDOMISED BLOCK DESIGN (RBD) </w:t>
      </w:r>
    </w:p>
    <w:p>
      <w:pPr>
        <w:autoSpaceDN w:val="0"/>
        <w:autoSpaceDE w:val="0"/>
        <w:widowControl/>
        <w:spacing w:line="276" w:lineRule="auto" w:before="29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Amore careful examination of design 2 in table 2 will reveal some disadvantages of CRD in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problem. One thing to be noted is that brand A is never used on car 3 or brand B on car 1 or 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 2. Any variation within brand A may reflect variation between cars 1, 2 and 4. Thus the random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error may not be merely an experimental error but may include variation between cars. Since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chief objective of experimental design is to reduce the experimental error, a better design might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one in which the car variation is removed from the error and a design that requires that each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brand be used once on each car is called a Randomised Block Design. </w:t>
      </w:r>
    </w:p>
    <w:p>
      <w:pPr>
        <w:autoSpaceDN w:val="0"/>
        <w:autoSpaceDE w:val="0"/>
        <w:widowControl/>
        <w:spacing w:line="332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Table 3:   Design 3 – RBD for the tyre- type example. </w:t>
      </w:r>
    </w:p>
    <w:p>
      <w:pPr>
        <w:autoSpaceDN w:val="0"/>
        <w:autoSpaceDE w:val="0"/>
        <w:widowControl/>
        <w:spacing w:line="278" w:lineRule="auto" w:before="298" w:after="32"/>
        <w:ind w:left="0" w:right="61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888"/>
        <w:gridCol w:w="1888"/>
        <w:gridCol w:w="1888"/>
        <w:gridCol w:w="1888"/>
        <w:gridCol w:w="1888"/>
      </w:tblGrid>
      <w:tr>
        <w:trPr>
          <w:trHeight w:hRule="exact" w:val="494"/>
        </w:trPr>
        <w:tc>
          <w:tcPr>
            <w:tcW w:type="dxa" w:w="14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11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11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IV </w:t>
            </w:r>
          </w:p>
        </w:tc>
      </w:tr>
      <w:tr>
        <w:trPr>
          <w:trHeight w:hRule="exact" w:val="1706"/>
        </w:trPr>
        <w:tc>
          <w:tcPr>
            <w:tcW w:type="dxa" w:w="14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Brand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distribution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loss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thickness </w:t>
            </w:r>
          </w:p>
        </w:tc>
        <w:tc>
          <w:tcPr>
            <w:tcW w:type="dxa" w:w="110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6" w:after="0"/>
              <w:ind w:left="262" w:right="20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A(17)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D(13) </w:t>
            </w:r>
          </w:p>
        </w:tc>
        <w:tc>
          <w:tcPr>
            <w:tcW w:type="dxa" w:w="110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6" w:after="0"/>
              <w:ind w:left="270" w:right="204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A(14) </w:t>
            </w:r>
          </w:p>
        </w:tc>
        <w:tc>
          <w:tcPr>
            <w:tcW w:type="dxa" w:w="11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6" w:after="0"/>
              <w:ind w:left="266" w:right="202" w:hanging="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C(10) </w:t>
            </w:r>
          </w:p>
        </w:tc>
        <w:tc>
          <w:tcPr>
            <w:tcW w:type="dxa" w:w="111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8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B(8)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A(13) </w:t>
            </w:r>
          </w:p>
        </w:tc>
      </w:tr>
    </w:tbl>
    <w:p>
      <w:pPr>
        <w:autoSpaceDN w:val="0"/>
        <w:autoSpaceDE w:val="0"/>
        <w:widowControl/>
        <w:spacing w:line="276" w:lineRule="auto" w:before="284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this design the order in which the 4 brands are placed on a car is random and each car gets one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tyre of each brand. In this way, better comparisons can be made between brands since they are 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driven over the same terrain using the same drivers and so on. </w:t>
      </w:r>
    </w:p>
    <w:p>
      <w:pPr>
        <w:autoSpaceDN w:val="0"/>
        <w:tabs>
          <w:tab w:pos="720" w:val="left"/>
        </w:tabs>
        <w:autoSpaceDE w:val="0"/>
        <w:widowControl/>
        <w:spacing w:line="27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provides a more homogeneous environment in which to test the 4 brands. In general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groupings for homogeneity are called blocks and the randomisation is now restricted within blocks.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design also allows the car (block) variation to be independently assessed and removed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error term and the model for the design is;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𝑦</w:t>
      </w:r>
      <w:r/>
    </w:p>
    <w:p>
      <w:pPr>
        <w:sectPr>
          <w:pgSz w:w="12240" w:h="15840"/>
          <w:pgMar w:top="706" w:right="1358" w:bottom="816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360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iii)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analysis is straight forward and remains so unless due to accident, data (on an entire block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treatment) gets missing. If data from individual units is missing, then we use the Yates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missing plot technique to estimate that missing value and then continue with the test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analysis. </w:t>
      </w:r>
    </w:p>
    <w:p>
      <w:pPr>
        <w:autoSpaceDN w:val="0"/>
        <w:autoSpaceDE w:val="0"/>
        <w:widowControl/>
        <w:spacing w:line="276" w:lineRule="auto" w:before="0" w:after="0"/>
        <w:ind w:left="360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iv)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experimental unit receives each of the treatments assigned in a random sequence.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cuts down considerably on the number of experimental units or subjects needed for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experiment (point of view, cost) =&gt; one experimental unit can appear in more than one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treatment.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08" w:lineRule="exact" w:before="346" w:after="26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Disadvantages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The chief disadvantage is that if the blocks are not internally homogeneous then a large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error term will result.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4721"/>
        <w:gridCol w:w="4721"/>
      </w:tblGrid>
      <w:tr>
        <w:trPr>
          <w:trHeight w:hRule="exact" w:val="170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2134" w:right="144" w:hanging="6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254" w:right="2106" w:hanging="6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</w:p>
        </w:tc>
      </w:tr>
    </w:tbl>
    <w:p>
      <w:pPr>
        <w:autoSpaceDN w:val="0"/>
        <w:tabs>
          <w:tab w:pos="720" w:val="left"/>
        </w:tabs>
        <w:autoSpaceDE w:val="0"/>
        <w:widowControl/>
        <w:spacing w:line="276" w:lineRule="auto" w:before="256" w:after="0"/>
        <w:ind w:left="3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A in I is different from A in II, there will be a large error term. Therefore it is important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make sure that the 4 tyres for each tyre type are homogeneous. Internally homogeneous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may also mean same conditions for mostly from the point of view of the environment.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With the increase in the number of treatments, the block size increases and therefore one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 less control over error and this will increase the probability of including material of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heterogeneous nature. </w:t>
      </w:r>
    </w:p>
    <w:p>
      <w:pPr>
        <w:sectPr>
          <w:pgSz w:w="12240" w:h="15840"/>
          <w:pgMar w:top="702" w:right="1358" w:bottom="1440" w:left="1440" w:header="720" w:footer="720" w:gutter="0"/>
          <w:cols w:space="720" w:num="1" w:equalWidth="0"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0"/>
        <w:ind w:left="0" w:right="0"/>
      </w:pPr>
    </w:p>
    <w:p>
      <w:pPr>
        <w:autoSpaceDN w:val="0"/>
        <w:autoSpaceDE w:val="0"/>
        <w:widowControl/>
        <w:spacing w:line="316" w:lineRule="exact" w:before="16" w:after="33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Layout of RBD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general, consider a rectangular array of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rows and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columns. i.e we may have a factor A as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rows with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levels and factor B as the columns with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levels.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60"/>
        <w:gridCol w:w="2360"/>
        <w:gridCol w:w="2360"/>
        <w:gridCol w:w="2360"/>
      </w:tblGrid>
      <w:tr>
        <w:trPr>
          <w:trHeight w:hRule="exact" w:val="1044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Rows (factor A) </w:t>
            </w:r>
          </w:p>
        </w:tc>
        <w:tc>
          <w:tcPr>
            <w:tcW w:type="dxa" w:w="39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4" w:val="left"/>
              </w:tabs>
              <w:autoSpaceDE w:val="0"/>
              <w:widowControl/>
              <w:spacing w:line="426" w:lineRule="exact" w:before="0" w:after="0"/>
              <w:ind w:left="164" w:right="14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Columns (factor B)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           2          3 ……..  j ……… c  </w:t>
            </w:r>
          </w:p>
        </w:tc>
        <w:tc>
          <w:tcPr>
            <w:tcW w:type="dxa" w:w="99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Totals </w:t>
            </w:r>
          </w:p>
        </w:tc>
        <w:tc>
          <w:tcPr>
            <w:tcW w:type="dxa" w:w="117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Means </w:t>
            </w:r>
          </w:p>
        </w:tc>
      </w:tr>
      <w:tr>
        <w:trPr>
          <w:trHeight w:hRule="exact" w:val="8182"/>
        </w:trPr>
        <w:tc>
          <w:tcPr>
            <w:tcW w:type="dxa" w:w="19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  <w:p>
            <w:pPr>
              <w:autoSpaceDN w:val="0"/>
              <w:autoSpaceDE w:val="0"/>
              <w:widowControl/>
              <w:spacing w:line="332" w:lineRule="exact" w:before="84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2 </w:t>
            </w:r>
          </w:p>
          <w:p>
            <w:pPr>
              <w:autoSpaceDN w:val="0"/>
              <w:autoSpaceDE w:val="0"/>
              <w:widowControl/>
              <w:spacing w:line="332" w:lineRule="exact" w:before="85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 </w:t>
            </w:r>
          </w:p>
          <w:p>
            <w:pPr>
              <w:autoSpaceDN w:val="0"/>
              <w:autoSpaceDE w:val="0"/>
              <w:widowControl/>
              <w:spacing w:line="334" w:lineRule="exact" w:before="85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334" w:lineRule="exact" w:before="18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312" w:lineRule="exact" w:before="308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I </w:t>
            </w:r>
          </w:p>
          <w:p>
            <w:pPr>
              <w:autoSpaceDN w:val="0"/>
              <w:autoSpaceDE w:val="0"/>
              <w:widowControl/>
              <w:spacing w:line="332" w:lineRule="exact" w:before="85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332" w:lineRule="exact" w:before="18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310" w:lineRule="exact" w:before="310" w:after="0"/>
              <w:ind w:left="0" w:right="0" w:firstLine="0"/>
              <w:jc w:val="center"/>
            </w:pPr>
            <w:r>
              <w:rPr>
                <w:rFonts w:ascii="Times New Roman,BoldItalic" w:hAnsi="Times New Roman,BoldItalic" w:eastAsia="Times New Roman,BoldItalic"/>
                <w:b/>
                <w:i/>
                <w:color w:val="000000"/>
                <w:sz w:val="24"/>
              </w:rPr>
              <w:t xml:space="preserve">R </w:t>
            </w:r>
          </w:p>
        </w:tc>
        <w:tc>
          <w:tcPr>
            <w:tcW w:type="dxa" w:w="39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… … 𝑦</w:t>
            </w:r>
            <w:r/>
          </w:p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</w:tbl>
    <w:p>
      <w:pPr>
        <w:sectPr>
          <w:pgSz w:w="12240" w:h="15840"/>
          <w:pgMar w:top="1440" w:right="1358" w:bottom="1144" w:left="1440" w:header="720" w:footer="720" w:gutter="0"/>
          <w:cols w:space="720" w:num="1" w:equalWidth="0"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60"/>
        <w:gridCol w:w="2360"/>
        <w:gridCol w:w="2360"/>
        <w:gridCol w:w="2360"/>
      </w:tblGrid>
      <w:tr>
        <w:trPr>
          <w:trHeight w:hRule="exact" w:val="124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576" w:right="432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Means </w:t>
            </w:r>
          </w:p>
        </w:tc>
        <w:tc>
          <w:tcPr>
            <w:tcW w:type="dxa" w:w="39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𝒐𝟏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𝒚</w:t>
            </w:r>
            <w:r/>
          </w:p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</w:tbl>
    <w:p>
      <w:pPr>
        <w:sectPr>
          <w:pgSz w:w="12240" w:h="15840"/>
          <w:pgMar w:top="710" w:right="1360" w:bottom="836" w:left="1440" w:header="720" w:footer="720" w:gutter="0"/>
          <w:cols w:space="720" w:num="1" w:equalWidth="0">
            <w:col w:w="9440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rPr>
          <w:trHeight w:hRule="exact" w:val="310"/>
        </w:trPr>
        <w:tc>
          <w:tcPr>
            <w:tcW w:type="dxa" w:w="25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SSR = 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𝑐 ∑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𝑟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righ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𝑖=𝑖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̅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𝑖𝑜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−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̅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𝑜𝑜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1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6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2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8" w:val="left"/>
                <w:tab w:pos="766" w:val="left"/>
              </w:tabs>
              <w:autoSpaceDE w:val="0"/>
              <w:widowControl/>
              <w:spacing w:line="259" w:lineRule="auto" w:before="0" w:after="0"/>
              <w:ind w:left="68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2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∑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  <w:u w:val="single"/>
              </w:rPr>
              <w:t xml:space="preserve">𝑖𝑜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𝐶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−</w:t>
            </w:r>
          </w:p>
        </w:tc>
        <w:tc>
          <w:tcPr>
            <w:tcW w:type="dxa" w:w="135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2" w:after="0"/>
              <w:ind w:left="4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 xml:space="preserve">𝑜𝑜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02"/>
            <w:vMerge w:val="restart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20"/>
            <w:vMerge w:val="restart"/>
            <w:tcBorders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1755"/>
            <w:gridSpan w:val="3"/>
            <w:vMerge/>
            <w:tcBorders/>
          </w:tcPr>
          <w:p/>
        </w:tc>
        <w:tc>
          <w:tcPr>
            <w:tcW w:type="dxa" w:w="1170"/>
            <w:gridSpan w:val="2"/>
            <w:vMerge/>
            <w:tcBorders/>
          </w:tcPr>
          <w:p/>
        </w:tc>
        <w:tc>
          <w:tcPr>
            <w:tcW w:type="dxa" w:w="1755"/>
            <w:gridSpan w:val="3"/>
            <w:vMerge/>
            <w:tcBorders/>
          </w:tcPr>
          <w:p/>
        </w:tc>
        <w:tc>
          <w:tcPr>
            <w:tcW w:type="dxa" w:w="1358"/>
            <w:gridSpan w:val="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4" w:after="0"/>
              <w:ind w:left="130" w:right="0" w:firstLine="0"/>
              <w:jc w:val="left"/>
            </w:pPr>
            <w:r/>
          </w:p>
        </w:tc>
        <w:tc>
          <w:tcPr>
            <w:tcW w:type="dxa" w:w="585"/>
            <w:vMerge/>
            <w:tcBorders>
              <w:bottom w:sz="6.399999999999977" w:val="single" w:color="#000000"/>
            </w:tcBorders>
          </w:tcPr>
          <w:p/>
        </w:tc>
        <w:tc>
          <w:tcPr>
            <w:tcW w:type="dxa" w:w="585"/>
            <w:vMerge/>
            <w:tcBorders>
              <w:bottom w:sz="6.399999999999977" w:val="single" w:color="#000000"/>
            </w:tcBorders>
          </w:tcPr>
          <w:p/>
        </w:tc>
      </w:tr>
      <w:tr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  <w:vMerge/>
            <w:tcBorders>
              <w:bottom w:sz="6.399999999999977" w:val="single" w:color="#000000"/>
            </w:tcBorders>
          </w:tcPr>
          <w:p/>
        </w:tc>
        <w:tc>
          <w:tcPr>
            <w:tcW w:type="dxa" w:w="585"/>
            <w:vMerge/>
            <w:tcBorders>
              <w:bottom w:sz="6.399999999999977" w:val="single" w:color="#000000"/>
            </w:tcBorders>
          </w:tcPr>
          <w:p/>
        </w:tc>
      </w:tr>
      <w:tr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</w:tr>
      <w:tr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</w:tr>
      <w:tr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  <w:tc>
          <w:tcPr>
            <w:tcW w:type="dxa" w:w="585"/>
          </w:tcPr>
          <w:p/>
        </w:tc>
      </w:tr>
    </w:tbl>
    <w:p>
      <w:pPr>
        <w:sectPr>
          <w:pgSz w:w="12240" w:h="15840"/>
          <w:pgMar w:top="724" w:right="1440" w:bottom="906" w:left="1440" w:header="720" w:footer="720" w:gutter="0"/>
          <w:cols w:space="720" w:num="1" w:equalWidth="0">
            <w:col w:w="9360" w:space="0"/>
            <w:col w:w="9440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530"/>
        </w:trPr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4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5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39 </w:t>
            </w:r>
          </w:p>
        </w:tc>
      </w:tr>
      <w:tr>
        <w:trPr>
          <w:trHeight w:hRule="exact" w:val="624"/>
        </w:trPr>
        <w:tc>
          <w:tcPr>
            <w:tcW w:type="dxa" w:w="13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/>
          </w:p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</w:tbl>
    <w:p>
      <w:pPr>
        <w:sectPr>
          <w:pgSz w:w="12240" w:h="15840"/>
          <w:pgMar w:top="708" w:right="1440" w:bottom="760" w:left="1440" w:header="720" w:footer="720" w:gutter="0"/>
          <w:cols w:space="720" w:num="1" w:equalWidth="0">
            <w:col w:w="9360" w:space="0"/>
            <w:col w:w="9360" w:space="0"/>
            <w:col w:w="9440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1888"/>
        <w:gridCol w:w="1888"/>
        <w:gridCol w:w="1888"/>
        <w:gridCol w:w="1888"/>
        <w:gridCol w:w="1888"/>
      </w:tblGrid>
      <w:tr>
        <w:trPr>
          <w:trHeight w:hRule="exact" w:val="530"/>
        </w:trPr>
        <w:tc>
          <w:tcPr>
            <w:tcW w:type="dxa" w:w="22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Rows (car type) </w:t>
            </w:r>
          </w:p>
        </w:tc>
        <w:tc>
          <w:tcPr>
            <w:tcW w:type="dxa" w:w="1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38.69 </w:t>
            </w:r>
          </w:p>
        </w:tc>
        <w:tc>
          <w:tcPr>
            <w:tcW w:type="dxa" w:w="13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12.9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9.9 </w:t>
            </w:r>
          </w:p>
        </w:tc>
      </w:tr>
      <w:tr>
        <w:trPr>
          <w:trHeight w:hRule="exact" w:val="526"/>
        </w:trPr>
        <w:tc>
          <w:tcPr>
            <w:tcW w:type="dxa" w:w="22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Columns (tyre type) </w:t>
            </w:r>
          </w:p>
        </w:tc>
        <w:tc>
          <w:tcPr>
            <w:tcW w:type="dxa" w:w="1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30.69 </w:t>
            </w:r>
          </w:p>
        </w:tc>
        <w:tc>
          <w:tcPr>
            <w:tcW w:type="dxa" w:w="13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10.2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2c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7.8 </w:t>
            </w:r>
          </w:p>
        </w:tc>
      </w:tr>
      <w:tr>
        <w:trPr>
          <w:trHeight w:hRule="exact" w:val="526"/>
        </w:trPr>
        <w:tc>
          <w:tcPr>
            <w:tcW w:type="dxa" w:w="22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Error </w:t>
            </w:r>
          </w:p>
        </w:tc>
        <w:tc>
          <w:tcPr>
            <w:tcW w:type="dxa" w:w="1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11.56 </w:t>
            </w:r>
          </w:p>
        </w:tc>
        <w:tc>
          <w:tcPr>
            <w:tcW w:type="dxa" w:w="13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MSE = 1.3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0"/>
        </w:trPr>
        <w:tc>
          <w:tcPr>
            <w:tcW w:type="dxa" w:w="22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3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26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80.94 </w:t>
            </w:r>
          </w:p>
        </w:tc>
        <w:tc>
          <w:tcPr>
            <w:tcW w:type="dxa" w:w="135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2" w:lineRule="exact" w:before="310" w:after="0"/>
        <w:ind w:left="72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Conclusions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test the hypothesis that the average tread loss of all the four car types is the same,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computed F obtained was 9.9 which is also significant at the 1% level of significance.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means that the car to car variation is significant since we reject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o1. </w:t>
      </w:r>
    </w:p>
    <w:p>
      <w:pPr>
        <w:autoSpaceDN w:val="0"/>
        <w:autoSpaceDE w:val="0"/>
        <w:widowControl/>
        <w:spacing w:line="276" w:lineRule="auto" w:before="0" w:after="0"/>
        <w:ind w:left="72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For the case of the tyre types 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2c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= 7.8 which is also significantly larger than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corresponding critical F given. i.e The hypothesis of equal tyre type means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o2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 also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rejected at both 1% and 5% level of significance. </w:t>
      </w:r>
    </w:p>
    <w:p>
      <w:pPr>
        <w:autoSpaceDN w:val="0"/>
        <w:autoSpaceDE w:val="0"/>
        <w:widowControl/>
        <w:spacing w:line="276" w:lineRule="auto" w:before="314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 that this hypothesis of equal tyre type means could not be rejected using a CRD.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RBD allows for the removal of the car effect which has reduced the common variance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significantly from 4.2 to 1.3. </w:t>
      </w:r>
    </w:p>
    <w:p>
      <w:pPr>
        <w:autoSpaceDN w:val="0"/>
        <w:autoSpaceDE w:val="0"/>
        <w:widowControl/>
        <w:spacing w:line="312" w:lineRule="exact" w:before="340" w:after="0"/>
        <w:ind w:left="72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Remark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data are presented in a tabular form, there is usually no way to determine how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 were collected. Was the randomisation complete over all N observations or was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experiment run in blocks with randomisation restricted to within the blocks? </w:t>
      </w:r>
    </w:p>
    <w:p>
      <w:pPr>
        <w:autoSpaceDN w:val="0"/>
        <w:autoSpaceDE w:val="0"/>
        <w:widowControl/>
        <w:spacing w:line="276" w:lineRule="auto" w:before="314" w:after="0"/>
        <w:ind w:left="720" w:right="2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help in signifying the design of the experiment, it is suggested that in the case of a CRD,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vertical or horizontal lines be drawn as in table 2. When randomisation has been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restricted, either vertical or horizontal lines (as shown in table 3) can be used to indicate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order of restriction on the randomisation. </w:t>
      </w:r>
    </w:p>
    <w:p>
      <w:pPr>
        <w:sectPr>
          <w:pgSz w:w="12240" w:h="15840"/>
          <w:pgMar w:top="708" w:right="1358" w:bottom="1440" w:left="1440" w:header="720" w:footer="720" w:gutter="0"/>
          <w:cols w:space="720" w:num="1" w:equalWidth="0">
            <w:col w:w="9442" w:space="0"/>
            <w:col w:w="9360" w:space="0"/>
            <w:col w:w="9360" w:space="0"/>
            <w:col w:w="9440" w:space="0"/>
            <w:col w:w="9442" w:space="0"/>
            <w:col w:w="9442" w:space="0"/>
            <w:col w:w="9442" w:space="0"/>
          </w:cols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9442" w:space="0"/>
        <w:col w:w="9360" w:space="0"/>
        <w:col w:w="9360" w:space="0"/>
        <w:col w:w="9440" w:space="0"/>
        <w:col w:w="9442" w:space="0"/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