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2000000">
      <w:pPr>
        <w:spacing w:after="0" w:line="240" w:lineRule="auto"/>
        <w:ind w:firstLine="0" w:left="232"/>
        <w:jc w:val="both"/>
      </w:pPr>
    </w:p>
    <w:tbl>
      <w:tblPr>
        <w:tblStyle w:val="Style_2"/>
        <w:tblInd w:type="dxa" w:w="232"/>
        <w:tblBorders>
          <w:top w:color="000000" w:val="nil"/>
          <w:left w:color="000000" w:val="nil"/>
          <w:bottom w:color="000000" w:val="nil"/>
          <w:right w:color="000000" w:val="nil"/>
          <w:insideH w:color="000000" w:val="nil"/>
          <w:insideV w:color="000000" w:val="nil"/>
        </w:tblBorders>
        <w:tblLayout w:type="fixed"/>
      </w:tblPr>
      <w:tblGrid>
        <w:gridCol w:w="4725"/>
        <w:gridCol w:w="5238"/>
      </w:tblGrid>
      <w:tr>
        <w:tc>
          <w:tcPr>
            <w:tcW w:type="dxa" w:w="4725"/>
            <w:tcBorders>
              <w:top w:color="000000" w:val="nil"/>
              <w:left w:color="000000" w:val="nil"/>
              <w:bottom w:color="000000" w:val="nil"/>
              <w:right w:color="000000" w:val="nil"/>
            </w:tcBorders>
          </w:tcPr>
          <w:p w14:paraId="03000000">
            <w:pPr>
              <w:spacing w:after="0" w:line="240" w:lineRule="auto"/>
              <w:ind/>
            </w:pPr>
          </w:p>
        </w:tc>
        <w:tc>
          <w:tcPr>
            <w:tcW w:type="dxa" w:w="5238"/>
            <w:tcBorders>
              <w:top w:color="000000" w:val="nil"/>
              <w:left w:color="000000" w:val="nil"/>
              <w:bottom w:color="000000" w:val="nil"/>
              <w:right w:color="000000" w:val="nil"/>
            </w:tcBorders>
          </w:tcPr>
          <w:p w14:paraId="04000000">
            <w:pPr>
              <w:spacing w:after="0" w:line="240" w:lineRule="auto"/>
              <w:ind w:firstLine="0" w:left="232"/>
              <w:jc w:val="right"/>
            </w:pPr>
            <w:r>
              <w:t>У</w:t>
            </w:r>
            <w:r>
              <w:t xml:space="preserve"> </w:t>
            </w:r>
            <w:r>
              <w:t>Т</w:t>
            </w:r>
            <w:r>
              <w:t xml:space="preserve"> </w:t>
            </w:r>
            <w:r>
              <w:t>В</w:t>
            </w:r>
            <w:r>
              <w:t xml:space="preserve"> </w:t>
            </w:r>
            <w:r>
              <w:t>Е</w:t>
            </w:r>
            <w:r>
              <w:t xml:space="preserve"> </w:t>
            </w:r>
            <w:r>
              <w:t>Р</w:t>
            </w:r>
            <w:r>
              <w:t xml:space="preserve"> </w:t>
            </w:r>
            <w:r>
              <w:t>Ж</w:t>
            </w:r>
            <w:r>
              <w:t xml:space="preserve"> </w:t>
            </w:r>
            <w:r>
              <w:t>Д</w:t>
            </w:r>
            <w:r>
              <w:t xml:space="preserve"> </w:t>
            </w:r>
            <w:r>
              <w:t>А</w:t>
            </w:r>
            <w:r>
              <w:t xml:space="preserve"> </w:t>
            </w:r>
            <w:r>
              <w:t>Ю</w:t>
            </w:r>
          </w:p>
          <w:p w14:paraId="05000000">
            <w:pPr>
              <w:spacing w:after="0" w:line="240" w:lineRule="auto"/>
              <w:ind w:firstLine="0" w:left="232"/>
              <w:jc w:val="right"/>
            </w:pPr>
          </w:p>
          <w:p w14:paraId="06000000">
            <w:pPr>
              <w:spacing w:after="0" w:line="240" w:lineRule="auto"/>
              <w:ind w:firstLine="0" w:left="232"/>
              <w:jc w:val="right"/>
            </w:pPr>
            <w:r>
              <w:t>ГОСУДАРСТВЕННОЕ АВТОНОМНОЕ</w:t>
            </w:r>
            <w:r>
              <w:t xml:space="preserve"> УЧРЕЖДЕНИЕ РЕСПУБЛИКИ САХА (ЯКУТИЯ) ''РЕСПУБЛИКАНСКАЯ БОЛЬНИЦА №1 - НАЦИОНАЛЬНЫЙ ЦЕНТР МЕДИЦИНЫ ИМЕНИ М.Е. НИКОЛАЕВА''</w:t>
            </w:r>
          </w:p>
          <w:p w14:paraId="07000000">
            <w:pPr>
              <w:spacing w:after="0" w:line="240" w:lineRule="auto"/>
              <w:ind/>
              <w:jc w:val="right"/>
              <w:rPr>
                <w:i w:val="1"/>
              </w:rPr>
            </w:pPr>
            <w:r>
              <w:rPr>
                <w:i w:val="1"/>
              </w:rPr>
              <w:t>Подписано усиленной</w:t>
            </w:r>
          </w:p>
          <w:p w14:paraId="08000000">
            <w:pPr>
              <w:spacing w:after="0" w:line="240" w:lineRule="auto"/>
              <w:ind/>
              <w:jc w:val="right"/>
              <w:rPr>
                <w:i w:val="1"/>
              </w:rPr>
            </w:pPr>
            <w:r>
              <w:rPr>
                <w:i w:val="1"/>
              </w:rPr>
              <w:t xml:space="preserve">квалифицированной </w:t>
            </w:r>
          </w:p>
          <w:p w14:paraId="09000000">
            <w:pPr>
              <w:spacing w:after="0" w:line="240" w:lineRule="auto"/>
              <w:ind/>
              <w:jc w:val="right"/>
            </w:pPr>
            <w:r>
              <w:rPr>
                <w:i w:val="1"/>
              </w:rPr>
              <w:t>электронной подписью</w:t>
            </w:r>
          </w:p>
        </w:tc>
      </w:tr>
    </w:tbl>
    <w:p w14:paraId="0A000000">
      <w:pPr>
        <w:spacing w:after="0" w:line="240" w:lineRule="auto"/>
        <w:ind w:firstLine="709" w:left="0"/>
        <w:jc w:val="both"/>
      </w:pPr>
    </w:p>
    <w:p w14:paraId="0B000000">
      <w:pPr>
        <w:spacing w:after="0" w:line="240" w:lineRule="auto"/>
        <w:ind/>
        <w:jc w:val="center"/>
        <w:rPr>
          <w:b w:val="1"/>
        </w:rPr>
      </w:pPr>
      <w:r>
        <w:rPr>
          <w:b w:val="1"/>
        </w:rPr>
        <w:t>Извещение о проведении конкурентной закупки</w:t>
      </w:r>
    </w:p>
    <w:p w14:paraId="0C000000">
      <w:pPr>
        <w:spacing w:after="0" w:line="240" w:lineRule="auto"/>
        <w:ind/>
        <w:jc w:val="center"/>
        <w:rPr>
          <w:b w:val="1"/>
        </w:rPr>
      </w:pPr>
    </w:p>
    <w:p w14:paraId="0D000000">
      <w:pPr>
        <w:spacing w:after="0" w:line="288" w:lineRule="auto"/>
        <w:ind w:firstLine="709" w:left="0"/>
        <w:jc w:val="both"/>
        <w:rPr>
          <w:sz w:val="22"/>
        </w:rPr>
      </w:pPr>
      <w:r>
        <w:rPr>
          <w:sz w:val="22"/>
        </w:rPr>
        <w:t>Данное извещение содержит приоритетную информацию относительно информации, включенной в сведении о закупке функционала ЕИС. В случае разночтения информации, содержащейся в документации, с информацией, указанной в данном извещении, преимущество имеют сведения, указанные в документации, если иное не указано в самой документации.</w:t>
      </w:r>
    </w:p>
    <w:p w14:paraId="0E000000">
      <w:pPr>
        <w:spacing w:after="0" w:line="288" w:lineRule="auto"/>
        <w:ind w:firstLine="709" w:left="0"/>
        <w:jc w:val="both"/>
        <w:rPr>
          <w:sz w:val="22"/>
        </w:rPr>
      </w:pPr>
      <w:r>
        <w:rPr>
          <w:sz w:val="22"/>
        </w:rPr>
        <w:t xml:space="preserve">Время указано по месту нахождения организатора. </w:t>
      </w:r>
    </w:p>
    <w:tbl>
      <w:tblPr>
        <w:tblStyle w:val="Style_3"/>
        <w:tblBorders>
          <w:top w:color="000000" w:sz="4" w:val="single"/>
          <w:left w:color="000000" w:sz="4" w:val="single"/>
          <w:bottom w:color="000000" w:sz="4" w:val="single"/>
          <w:right w:color="000000" w:sz="4" w:val="single"/>
          <w:insideH w:color="000000" w:sz="4" w:val="single"/>
          <w:insideV w:color="000000" w:sz="4" w:val="single"/>
        </w:tblBorders>
        <w:tblLayout w:type="fixed"/>
      </w:tblPr>
      <w:tblGrid>
        <w:gridCol w:w="433"/>
        <w:gridCol w:w="4098"/>
        <w:gridCol w:w="5812"/>
      </w:tblGrid>
      <w:tr>
        <w:tc>
          <w:tcPr>
            <w:tcW w:type="dxa" w:w="433"/>
            <w:tcBorders>
              <w:top w:color="000000" w:sz="4" w:val="single"/>
              <w:left w:color="000000" w:sz="4" w:val="single"/>
              <w:bottom w:color="000000" w:sz="4" w:val="single"/>
              <w:right w:color="000000" w:sz="4" w:val="single"/>
            </w:tcBorders>
            <w:shd w:fill="auto" w:val="clear"/>
          </w:tcPr>
          <w:p w14:paraId="0F000000">
            <w:pPr>
              <w:pStyle w:val="Style_4"/>
              <w:numPr>
                <w:ilvl w:val="0"/>
                <w:numId w:val="1"/>
              </w:numPr>
              <w:ind w:firstLine="0" w:left="0"/>
              <w:jc w:val="center"/>
            </w:pPr>
            <w:bookmarkStart w:id="1" w:name="_Hlk91684919"/>
          </w:p>
        </w:tc>
        <w:tc>
          <w:tcPr>
            <w:tcW w:type="dxa" w:w="4098"/>
            <w:tcBorders>
              <w:top w:color="000000" w:sz="4" w:val="single"/>
              <w:left w:color="000000" w:sz="4" w:val="single"/>
              <w:bottom w:color="000000" w:sz="4" w:val="single"/>
              <w:right w:color="000000" w:sz="4" w:val="single"/>
            </w:tcBorders>
            <w:shd w:fill="auto" w:val="clear"/>
          </w:tcPr>
          <w:p w14:paraId="10000000">
            <w:pPr>
              <w:spacing w:after="0" w:line="240" w:lineRule="auto"/>
              <w:ind/>
              <w:jc w:val="both"/>
            </w:pPr>
            <w:r>
              <w:t>Способ закупки</w:t>
            </w:r>
            <w:r>
              <w:t>.</w:t>
            </w:r>
          </w:p>
        </w:tc>
        <w:tc>
          <w:tcPr>
            <w:tcW w:type="dxa" w:w="5812"/>
            <w:tcBorders>
              <w:top w:color="000000" w:sz="4" w:val="single"/>
              <w:left w:color="000000" w:sz="4" w:val="single"/>
              <w:bottom w:color="000000" w:sz="4" w:val="single"/>
              <w:right w:color="000000" w:sz="4" w:val="single"/>
            </w:tcBorders>
            <w:shd w:fill="auto" w:val="clear"/>
          </w:tcPr>
          <w:p w14:paraId="11000000">
            <w:pPr>
              <w:pStyle w:val="Style_5"/>
              <w:widowControl w:val="1"/>
              <w:spacing w:after="0" w:line="240" w:lineRule="auto"/>
              <w:ind/>
              <w:jc w:val="both"/>
              <w:rPr>
                <w:color w:val="FF0000"/>
                <w:sz w:val="24"/>
              </w:rPr>
            </w:pPr>
            <w:r>
              <w:rPr>
                <w:rFonts w:ascii="Times New Roman" w:hAnsi="Times New Roman"/>
                <w:sz w:val="24"/>
              </w:rPr>
              <w:t>Аукцион</w:t>
            </w:r>
            <w:r>
              <w:rPr>
                <w:rFonts w:ascii="Times New Roman" w:hAnsi="Times New Roman"/>
                <w:sz w:val="24"/>
              </w:rPr>
              <w:t xml:space="preserve"> </w:t>
            </w:r>
          </w:p>
        </w:tc>
      </w:tr>
      <w:tr>
        <w:tc>
          <w:tcPr>
            <w:tcW w:type="dxa" w:w="433"/>
            <w:tcBorders>
              <w:top w:color="000000" w:sz="4" w:val="single"/>
              <w:left w:color="000000" w:sz="4" w:val="single"/>
              <w:bottom w:color="000000" w:sz="4" w:val="single"/>
              <w:right w:color="000000" w:sz="4" w:val="single"/>
            </w:tcBorders>
            <w:shd w:fill="auto" w:val="clear"/>
          </w:tcPr>
          <w:p w14:paraId="12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13000000">
            <w:pPr>
              <w:spacing w:after="0" w:line="240" w:lineRule="auto"/>
              <w:ind/>
              <w:jc w:val="both"/>
            </w:pPr>
            <w:r>
              <w:t xml:space="preserve">Наименование </w:t>
            </w:r>
            <w:r>
              <w:t>предмета</w:t>
            </w:r>
            <w:r>
              <w:t xml:space="preserve"> закупки (предмет </w:t>
            </w:r>
            <w:r>
              <w:t>договора</w:t>
            </w:r>
            <w:r>
              <w:t>)</w:t>
            </w:r>
            <w:r>
              <w:t>.</w:t>
            </w:r>
          </w:p>
        </w:tc>
        <w:tc>
          <w:tcPr>
            <w:tcW w:type="dxa" w:w="5812"/>
            <w:tcBorders>
              <w:top w:color="000000" w:sz="4" w:val="single"/>
              <w:left w:color="000000" w:sz="4" w:val="single"/>
              <w:bottom w:color="000000" w:sz="4" w:val="single"/>
              <w:right w:color="000000" w:sz="4" w:val="single"/>
            </w:tcBorders>
            <w:shd w:fill="auto" w:val="clear"/>
          </w:tcPr>
          <w:p w14:paraId="14000000">
            <w:pPr>
              <w:spacing w:after="0" w:line="240" w:lineRule="auto"/>
              <w:ind/>
              <w:jc w:val="both"/>
              <w:rPr>
                <w:i w:val="1"/>
              </w:rPr>
            </w:pPr>
            <w:r>
              <w:t>Поставка лекарственного</w:t>
            </w:r>
            <w:r>
              <w:t xml:space="preserve"> препарата ''Ампициллин+Сульбактам'' (МНН)</w:t>
            </w:r>
          </w:p>
        </w:tc>
      </w:tr>
      <w:tr>
        <w:tc>
          <w:tcPr>
            <w:tcW w:type="dxa" w:w="433"/>
            <w:tcBorders>
              <w:top w:color="000000" w:sz="4" w:val="single"/>
              <w:left w:color="000000" w:sz="4" w:val="single"/>
              <w:bottom w:color="000000" w:sz="4" w:val="single"/>
              <w:right w:color="000000" w:sz="4" w:val="single"/>
            </w:tcBorders>
            <w:shd w:fill="auto" w:val="clear"/>
          </w:tcPr>
          <w:p w14:paraId="15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16000000">
            <w:pPr>
              <w:spacing w:after="0" w:line="240" w:lineRule="auto"/>
              <w:ind/>
              <w:jc w:val="both"/>
            </w:pPr>
            <w:r>
              <w:t>Начальная (максимальная) цена договора, либо формула цены и максимальное значение цены договора, либо цена единицы товара, работы, услуги и максимальное значение цены договора</w:t>
            </w:r>
            <w:r>
              <w:t>.</w:t>
            </w:r>
          </w:p>
        </w:tc>
        <w:tc>
          <w:tcPr>
            <w:tcW w:type="dxa" w:w="5812"/>
            <w:tcBorders>
              <w:top w:color="000000" w:sz="4" w:val="single"/>
              <w:left w:color="000000" w:sz="4" w:val="single"/>
              <w:bottom w:color="000000" w:sz="4" w:val="single"/>
              <w:right w:color="000000" w:sz="4" w:val="single"/>
            </w:tcBorders>
            <w:shd w:fill="auto" w:val="clear"/>
          </w:tcPr>
          <w:p w14:paraId="17000000">
            <w:pPr>
              <w:tabs>
                <w:tab w:leader="none" w:pos="1740" w:val="left"/>
              </w:tabs>
              <w:spacing w:after="0" w:line="240" w:lineRule="auto"/>
              <w:ind/>
              <w:jc w:val="both"/>
              <w:rPr>
                <w:highlight w:val="yellow"/>
              </w:rPr>
            </w:pPr>
            <w:r>
              <w:t>15 790 595,00</w:t>
            </w:r>
            <w:r>
              <w:t xml:space="preserve"> рублей.</w:t>
            </w:r>
            <w:r>
              <w:t xml:space="preserve"> </w:t>
            </w:r>
            <w:r>
              <w:t xml:space="preserve"> (</w:t>
            </w:r>
            <w:r>
              <w:t xml:space="preserve">НДС </w:t>
            </w:r>
            <w:r>
              <w:t>10</w:t>
            </w:r>
            <w:r>
              <w:t>%</w:t>
            </w:r>
            <w:r>
              <w:t>)</w:t>
            </w:r>
          </w:p>
        </w:tc>
      </w:tr>
      <w:tr>
        <w:tc>
          <w:tcPr>
            <w:tcW w:type="dxa" w:w="433"/>
            <w:tcBorders>
              <w:top w:color="000000" w:sz="4" w:val="single"/>
              <w:left w:color="000000" w:sz="4" w:val="single"/>
              <w:bottom w:color="000000" w:sz="4" w:val="single"/>
              <w:right w:color="000000" w:sz="4" w:val="single"/>
            </w:tcBorders>
            <w:shd w:fill="auto" w:val="clear"/>
          </w:tcPr>
          <w:p w14:paraId="18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19000000">
            <w:pPr>
              <w:spacing w:after="0" w:line="240" w:lineRule="auto"/>
              <w:ind/>
              <w:jc w:val="both"/>
            </w:pPr>
            <w:r>
              <w:t>Место поставки товара, выполнения работ, оказания услуг.</w:t>
            </w:r>
          </w:p>
        </w:tc>
        <w:tc>
          <w:tcPr>
            <w:tcW w:type="dxa" w:w="5812"/>
            <w:tcBorders>
              <w:top w:color="000000" w:sz="4" w:val="single"/>
              <w:left w:color="000000" w:sz="4" w:val="single"/>
              <w:bottom w:color="000000" w:sz="4" w:val="single"/>
              <w:right w:color="000000" w:sz="4" w:val="single"/>
            </w:tcBorders>
            <w:shd w:fill="auto" w:val="clear"/>
          </w:tcPr>
          <w:p w14:paraId="1A000000">
            <w:pPr>
              <w:spacing w:after="0" w:line="240" w:lineRule="auto"/>
              <w:ind/>
              <w:contextualSpacing w:val="1"/>
              <w:jc w:val="both"/>
              <w:rPr>
                <w:highlight w:val="yellow"/>
              </w:rPr>
            </w:pPr>
            <w:r>
              <w:t>677010, РС (</w:t>
            </w:r>
            <w:r>
              <w:t>Я), г. Якутск, Сергеляхское шоссе, 4, склад Аптеки СС. Идентификатор места деятельности – 00000000543723.</w:t>
            </w:r>
          </w:p>
        </w:tc>
      </w:tr>
      <w:tr>
        <w:tc>
          <w:tcPr>
            <w:tcW w:type="dxa" w:w="433"/>
            <w:tcBorders>
              <w:top w:color="000000" w:sz="4" w:val="single"/>
              <w:left w:color="000000" w:sz="4" w:val="single"/>
              <w:bottom w:color="000000" w:sz="4" w:val="single"/>
              <w:right w:color="000000" w:sz="4" w:val="single"/>
            </w:tcBorders>
            <w:shd w:fill="auto" w:val="clear"/>
          </w:tcPr>
          <w:p w14:paraId="1B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1C000000">
            <w:pPr>
              <w:spacing w:after="0" w:line="240" w:lineRule="auto"/>
              <w:ind/>
              <w:jc w:val="both"/>
            </w:pPr>
            <w:r>
              <w:t xml:space="preserve">Условия и сроки (периоды) </w:t>
            </w:r>
            <w:r>
              <w:t>поставки товара, выполнения работ, оказания услуг.</w:t>
            </w:r>
          </w:p>
        </w:tc>
        <w:tc>
          <w:tcPr>
            <w:tcW w:type="dxa" w:w="5812"/>
            <w:tcBorders>
              <w:top w:color="000000" w:sz="4" w:val="single"/>
              <w:left w:color="000000" w:sz="4" w:val="single"/>
              <w:bottom w:color="000000" w:sz="4" w:val="single"/>
              <w:right w:color="000000" w:sz="4" w:val="single"/>
            </w:tcBorders>
            <w:shd w:fill="auto" w:val="clear"/>
          </w:tcPr>
          <w:p w14:paraId="1D000000">
            <w:pPr>
              <w:ind/>
              <w:contextualSpacing w:val="1"/>
              <w:jc w:val="both"/>
            </w:pPr>
            <w:r>
              <w:t>Раздел 6,7 Проекта</w:t>
            </w:r>
            <w:r>
              <w:t xml:space="preserve"> Договора</w:t>
            </w:r>
          </w:p>
          <w:p w14:paraId="1E000000">
            <w:pPr>
              <w:ind/>
              <w:contextualSpacing w:val="1"/>
              <w:jc w:val="both"/>
            </w:pPr>
            <w:r>
              <w:t>Поставка должна</w:t>
            </w:r>
            <w:r>
              <w:t xml:space="preserve"> быть осуществлена по графику: 1 поставка – (566 уп. позиции №1; 1 666 уп. позиции №2 и 20 000 уп. позиции №3) в течение 14 дней со дня заключения договора, 2 поставка - (566 уп. позиции №1; 1 666 уп. позиции №2 и 20 000 уп. позиции №3) до 30.06.2026г., 3 поставка - (568 уп. позиции №1; 1 668 уп. позиции №2 и 20 000 уп. позиции №3) до 30.10.2026г.</w:t>
            </w:r>
          </w:p>
        </w:tc>
      </w:tr>
      <w:tr>
        <w:tc>
          <w:tcPr>
            <w:tcW w:type="dxa" w:w="433"/>
            <w:tcBorders>
              <w:top w:color="000000" w:sz="4" w:val="single"/>
              <w:left w:color="000000" w:sz="4" w:val="single"/>
              <w:bottom w:color="000000" w:sz="4" w:val="single"/>
              <w:right w:color="000000" w:sz="4" w:val="single"/>
            </w:tcBorders>
            <w:shd w:fill="auto" w:val="clear"/>
          </w:tcPr>
          <w:p w14:paraId="1F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20000000">
            <w:pPr>
              <w:spacing w:after="0" w:line="240" w:lineRule="auto"/>
              <w:ind/>
              <w:jc w:val="both"/>
            </w:pPr>
            <w:r>
              <w:t xml:space="preserve">Форма, </w:t>
            </w:r>
            <w:r>
              <w:t xml:space="preserve">сроки и </w:t>
            </w:r>
            <w:r>
              <w:t>порядок оплаты товара, работы, услуги</w:t>
            </w:r>
            <w:r>
              <w:t>, в том числе размер аванса.</w:t>
            </w:r>
          </w:p>
        </w:tc>
        <w:tc>
          <w:tcPr>
            <w:tcW w:type="dxa" w:w="5812"/>
            <w:tcBorders>
              <w:top w:color="000000" w:sz="4" w:val="single"/>
              <w:left w:color="000000" w:sz="4" w:val="single"/>
              <w:bottom w:color="000000" w:sz="4" w:val="single"/>
              <w:right w:color="000000" w:sz="4" w:val="single"/>
            </w:tcBorders>
            <w:shd w:fill="auto" w:val="clear"/>
          </w:tcPr>
          <w:p w14:paraId="21000000">
            <w:pPr>
              <w:spacing w:after="0" w:line="240" w:lineRule="auto"/>
              <w:ind/>
              <w:contextualSpacing w:val="1"/>
              <w:jc w:val="both"/>
              <w:rPr>
                <w:highlight w:val="yellow"/>
              </w:rPr>
            </w:pPr>
            <w:r>
              <w:t>Оплата по факту</w:t>
            </w:r>
            <w:r>
              <w:t xml:space="preserve"> поставки товара не позднее 7 (Семи) рабочих дней со дня подписания Сторонами универсального передаточного документа (либо товарной накладной, счет-фактуры, акта приема-передачи), счета, подтверждающего факт и стоимость поставки Товара. Срок исчисляется со дня подписания УПД (либо товарной накладной, счета-фактуры, акта приема-передачи).</w:t>
            </w:r>
          </w:p>
          <w:p w14:paraId="22000000">
            <w:pPr>
              <w:spacing w:after="0" w:line="240" w:lineRule="auto"/>
              <w:ind/>
              <w:contextualSpacing w:val="1"/>
              <w:jc w:val="both"/>
              <w:rPr>
                <w:highlight w:val="yellow"/>
              </w:rPr>
            </w:pPr>
            <w:r>
              <w:t>Аванс не предусмотрен. Оплата производится при условии предоставления Поставщиком универсального передаточного документа (УПД) в 3-х экземплярах (либо товарной накладной в 3-х экземплярах, счет-фактуры в 2-х экземплярах, акта приема-передачи в 2-х экземплярах), счета на оплату в 1-м экземпляре.</w:t>
            </w:r>
          </w:p>
        </w:tc>
      </w:tr>
      <w:tr>
        <w:tc>
          <w:tcPr>
            <w:tcW w:type="dxa" w:w="433"/>
            <w:tcBorders>
              <w:top w:color="000000" w:sz="4" w:val="single"/>
              <w:left w:color="000000" w:sz="4" w:val="single"/>
              <w:bottom w:color="000000" w:sz="4" w:val="single"/>
              <w:right w:color="000000" w:sz="4" w:val="single"/>
            </w:tcBorders>
            <w:shd w:fill="auto" w:val="clear"/>
          </w:tcPr>
          <w:p w14:paraId="23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24000000">
            <w:pPr>
              <w:spacing w:after="0" w:line="240" w:lineRule="auto"/>
              <w:ind/>
              <w:jc w:val="both"/>
              <w:rPr>
                <w:highlight w:val="white"/>
              </w:rPr>
            </w:pPr>
            <w:r>
              <w:t>Информация об отнесении к национальным проектам.</w:t>
            </w:r>
          </w:p>
        </w:tc>
        <w:tc>
          <w:tcPr>
            <w:tcW w:type="dxa" w:w="5812"/>
            <w:tcBorders>
              <w:top w:color="000000" w:sz="4" w:val="single"/>
              <w:left w:color="000000" w:sz="4" w:val="single"/>
              <w:bottom w:color="000000" w:sz="4" w:val="single"/>
              <w:right w:color="000000" w:sz="4" w:val="single"/>
            </w:tcBorders>
            <w:shd w:fill="auto" w:val="clear"/>
          </w:tcPr>
          <w:p w14:paraId="25000000">
            <w:pPr>
              <w:spacing w:after="0" w:line="240" w:lineRule="auto"/>
              <w:ind/>
              <w:contextualSpacing w:val="1"/>
              <w:jc w:val="both"/>
            </w:pPr>
            <w:r>
              <w:t>Нет</w:t>
            </w:r>
          </w:p>
        </w:tc>
      </w:tr>
      <w:tr>
        <w:tc>
          <w:tcPr>
            <w:tcW w:type="dxa" w:w="433"/>
            <w:tcBorders>
              <w:top w:color="000000" w:sz="4" w:val="single"/>
              <w:left w:color="000000" w:sz="4" w:val="single"/>
              <w:bottom w:color="000000" w:sz="4" w:val="single"/>
              <w:right w:color="000000" w:sz="4" w:val="single"/>
            </w:tcBorders>
            <w:shd w:fill="auto" w:val="clear"/>
          </w:tcPr>
          <w:p w14:paraId="26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27000000">
            <w:pPr>
              <w:spacing w:after="0" w:line="240" w:lineRule="auto"/>
              <w:ind/>
              <w:jc w:val="both"/>
              <w:rPr>
                <w:color w:val="FF0000"/>
              </w:rPr>
            </w:pPr>
            <w:r>
              <w:t>Участники закупки</w:t>
            </w:r>
          </w:p>
        </w:tc>
        <w:tc>
          <w:tcPr>
            <w:tcW w:type="dxa" w:w="5812"/>
            <w:tcBorders>
              <w:top w:color="000000" w:sz="4" w:val="single"/>
              <w:left w:color="000000" w:sz="4" w:val="single"/>
              <w:bottom w:color="000000" w:sz="4" w:val="single"/>
              <w:right w:color="000000" w:sz="4" w:val="single"/>
            </w:tcBorders>
            <w:shd w:fill="auto" w:val="clear"/>
          </w:tcPr>
          <w:p w14:paraId="28000000">
            <w:pPr>
              <w:spacing w:after="0" w:line="240" w:lineRule="auto"/>
              <w:ind/>
              <w:contextualSpacing w:val="1"/>
              <w:jc w:val="both"/>
              <w:rPr>
                <w:highlight w:val="yellow"/>
              </w:rPr>
            </w:pPr>
            <w:r>
              <w:t>С</w:t>
            </w:r>
            <w:r>
              <w:t>убъекты малого и среднего предпринимательства.</w:t>
            </w:r>
          </w:p>
        </w:tc>
      </w:tr>
      <w:tr>
        <w:tc>
          <w:tcPr>
            <w:tcW w:type="dxa" w:w="433"/>
            <w:tcBorders>
              <w:top w:color="000000" w:sz="4" w:val="single"/>
              <w:left w:color="000000" w:sz="4" w:val="single"/>
              <w:bottom w:color="000000" w:sz="4" w:val="single"/>
              <w:right w:color="000000" w:sz="4" w:val="single"/>
            </w:tcBorders>
            <w:shd w:fill="auto" w:val="clear"/>
          </w:tcPr>
          <w:p w14:paraId="29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2A000000">
            <w:pPr>
              <w:spacing w:after="0" w:line="240" w:lineRule="auto"/>
              <w:ind/>
              <w:jc w:val="both"/>
            </w:pPr>
            <w:r>
              <w:rPr>
                <w:highlight w:val="white"/>
              </w:rPr>
              <w:t xml:space="preserve">Требования, установленные в соответствии с законодательством Российской Федерации к лицам, осуществляющим поставку товара, выполнение работы, оказание услуги, являющихся </w:t>
            </w:r>
            <w:r>
              <w:rPr>
                <w:highlight w:val="white"/>
              </w:rPr>
              <w:t>предметом</w:t>
            </w:r>
            <w:r>
              <w:rPr>
                <w:highlight w:val="white"/>
              </w:rPr>
              <w:t xml:space="preserve"> </w:t>
            </w:r>
            <w:r>
              <w:rPr>
                <w:highlight w:val="white"/>
              </w:rPr>
              <w:t>закупки</w:t>
            </w:r>
            <w:r>
              <w:t xml:space="preserve"> </w:t>
            </w:r>
            <w:r>
              <w:t xml:space="preserve">в соответствии </w:t>
            </w:r>
            <w:r>
              <w:t xml:space="preserve">с </w:t>
            </w:r>
            <w:r>
              <w:t>п</w:t>
            </w:r>
            <w:r>
              <w:rPr>
                <w:highlight w:val="white"/>
              </w:rPr>
              <w:t>.п</w:t>
            </w:r>
            <w:r>
              <w:rPr>
                <w:highlight w:val="white"/>
              </w:rPr>
              <w:t>. «и» п. 12.1 Положения о закупке</w:t>
            </w:r>
          </w:p>
        </w:tc>
        <w:tc>
          <w:tcPr>
            <w:tcW w:type="dxa" w:w="5812"/>
            <w:tcBorders>
              <w:top w:color="000000" w:sz="4" w:val="single"/>
              <w:left w:color="000000" w:sz="4" w:val="single"/>
              <w:bottom w:color="000000" w:sz="4" w:val="single"/>
              <w:right w:color="000000" w:sz="4" w:val="single"/>
            </w:tcBorders>
            <w:shd w:fill="auto" w:val="clear"/>
          </w:tcPr>
          <w:p w14:paraId="2B000000">
            <w:pPr>
              <w:spacing w:after="0" w:line="240" w:lineRule="auto"/>
              <w:ind/>
              <w:contextualSpacing w:val="1"/>
              <w:jc w:val="both"/>
              <w:rPr>
                <w:rFonts w:ascii="Times New Roman" w:hAnsi="Times New Roman"/>
                <w:sz w:val="24"/>
              </w:rPr>
            </w:pPr>
            <w:r>
              <w:rPr>
                <w:rFonts w:ascii="Times New Roman" w:hAnsi="Times New Roman"/>
                <w:sz w:val="24"/>
              </w:rPr>
              <w:t xml:space="preserve">Участник закупки в соответствии с п. 47 ч. 1 ст. 12 Федерального закона от 04.05.2011 №99-ФЗ «О лицензировании отдельных видов деятельности», ст. 8 Федерального закона от 12.04.2010 №61-ФЗ «Об обращении лекарственных средств», Положением о лицензировании фармацевтической деятельности, утвержденным постановлением Правительства РФ от 31.03.2022 № 547 «Об утверждении Положения о лицензировании фармацевтической деятельности» должен иметь действующую </w:t>
            </w:r>
            <w:r>
              <w:rPr>
                <w:rFonts w:ascii="Times New Roman" w:hAnsi="Times New Roman"/>
                <w:b w:val="1"/>
                <w:sz w:val="24"/>
              </w:rPr>
              <w:t>лицензию на осуществление фармацевтической деятельности</w:t>
            </w:r>
            <w:r>
              <w:rPr>
                <w:rFonts w:ascii="Times New Roman" w:hAnsi="Times New Roman"/>
                <w:sz w:val="24"/>
              </w:rPr>
              <w:t>, включающую в себя следующие работы (услуги):</w:t>
            </w:r>
          </w:p>
          <w:p w14:paraId="2C000000">
            <w:pPr>
              <w:spacing w:after="0" w:line="240" w:lineRule="auto"/>
              <w:ind/>
              <w:contextualSpacing w:val="1"/>
              <w:jc w:val="both"/>
              <w:rPr>
                <w:rFonts w:ascii="Times New Roman" w:hAnsi="Times New Roman"/>
                <w:sz w:val="24"/>
              </w:rPr>
            </w:pPr>
            <w:r>
              <w:rPr>
                <w:rFonts w:ascii="Times New Roman" w:hAnsi="Times New Roman"/>
                <w:sz w:val="24"/>
              </w:rPr>
              <w:t>В сфере обращения лекарственных средств для медицинского применения:</w:t>
            </w:r>
          </w:p>
          <w:p w14:paraId="2D000000">
            <w:pPr>
              <w:spacing w:after="0" w:line="240" w:lineRule="auto"/>
              <w:ind/>
              <w:contextualSpacing w:val="1"/>
              <w:jc w:val="both"/>
              <w:rPr>
                <w:rFonts w:ascii="Times New Roman" w:hAnsi="Times New Roman"/>
                <w:sz w:val="24"/>
              </w:rPr>
            </w:pPr>
            <w:r>
              <w:rPr>
                <w:rFonts w:ascii="Times New Roman" w:hAnsi="Times New Roman"/>
                <w:sz w:val="24"/>
              </w:rPr>
              <w:t>Оптовая торговля лекарственными средствами для медицинского</w:t>
            </w:r>
            <w:r>
              <w:rPr>
                <w:rFonts w:ascii="Times New Roman" w:hAnsi="Times New Roman"/>
                <w:sz w:val="24"/>
              </w:rPr>
              <w:t xml:space="preserve"> </w:t>
            </w:r>
            <w:r>
              <w:rPr>
                <w:rFonts w:ascii="Times New Roman" w:hAnsi="Times New Roman"/>
                <w:sz w:val="24"/>
              </w:rPr>
              <w:t xml:space="preserve">применения </w:t>
            </w:r>
          </w:p>
          <w:p w14:paraId="2E000000">
            <w:pPr>
              <w:spacing w:after="0" w:line="240" w:lineRule="auto"/>
              <w:ind/>
              <w:contextualSpacing w:val="1"/>
              <w:jc w:val="both"/>
              <w:rPr>
                <w:rFonts w:ascii="Times New Roman" w:hAnsi="Times New Roman"/>
                <w:b w:val="1"/>
                <w:sz w:val="24"/>
              </w:rPr>
            </w:pPr>
            <w:r>
              <w:rPr>
                <w:rFonts w:ascii="Times New Roman" w:hAnsi="Times New Roman"/>
                <w:b w:val="1"/>
                <w:sz w:val="24"/>
              </w:rPr>
              <w:t>ИЛИ</w:t>
            </w:r>
          </w:p>
          <w:p w14:paraId="2F000000">
            <w:pPr>
              <w:spacing w:after="0" w:line="240" w:lineRule="auto"/>
              <w:ind/>
              <w:contextualSpacing w:val="1"/>
              <w:jc w:val="both"/>
              <w:rPr>
                <w:rFonts w:ascii="Times New Roman" w:hAnsi="Times New Roman"/>
                <w:sz w:val="24"/>
              </w:rPr>
            </w:pPr>
            <w:r>
              <w:rPr>
                <w:rFonts w:ascii="Times New Roman" w:hAnsi="Times New Roman"/>
                <w:sz w:val="24"/>
              </w:rPr>
              <w:t xml:space="preserve">Положением о лицензировании производства лекарственных средств, утвержденным постановлением Правительства РФ от 6 июля 2012 г. </w:t>
            </w:r>
            <w:r>
              <w:rPr>
                <w:rFonts w:ascii="Times New Roman" w:hAnsi="Times New Roman"/>
                <w:sz w:val="24"/>
              </w:rPr>
              <w:t>№</w:t>
            </w:r>
            <w:r>
              <w:rPr>
                <w:rFonts w:ascii="Times New Roman" w:hAnsi="Times New Roman"/>
                <w:sz w:val="24"/>
              </w:rPr>
              <w:t xml:space="preserve"> 686 </w:t>
            </w:r>
            <w:r>
              <w:rPr>
                <w:rFonts w:ascii="Times New Roman" w:hAnsi="Times New Roman"/>
                <w:sz w:val="24"/>
              </w:rPr>
              <w:t>«</w:t>
            </w:r>
            <w:r>
              <w:rPr>
                <w:rFonts w:ascii="Times New Roman" w:hAnsi="Times New Roman"/>
                <w:sz w:val="24"/>
              </w:rPr>
              <w:t>Об утверждении Положения о лицензировании производства лекарственных средств</w:t>
            </w:r>
            <w:r>
              <w:rPr>
                <w:rFonts w:ascii="Times New Roman" w:hAnsi="Times New Roman"/>
                <w:sz w:val="24"/>
              </w:rPr>
              <w:t>»</w:t>
            </w:r>
            <w:r>
              <w:rPr>
                <w:rFonts w:ascii="Times New Roman" w:hAnsi="Times New Roman"/>
                <w:sz w:val="24"/>
              </w:rPr>
              <w:t xml:space="preserve"> должен иметь действующую лицензию по производству лекарственных средств с указанием следующих видов:</w:t>
            </w:r>
          </w:p>
          <w:p w14:paraId="30000000">
            <w:pPr>
              <w:spacing w:after="0" w:line="240" w:lineRule="auto"/>
              <w:ind/>
              <w:contextualSpacing w:val="1"/>
              <w:jc w:val="both"/>
              <w:rPr>
                <w:rFonts w:ascii="Times New Roman" w:hAnsi="Times New Roman"/>
                <w:sz w:val="24"/>
              </w:rPr>
            </w:pPr>
            <w:r>
              <w:rPr>
                <w:rFonts w:ascii="Times New Roman" w:hAnsi="Times New Roman"/>
                <w:sz w:val="24"/>
              </w:rPr>
              <w:t>реализация и (или) передача произведенных лекарственных средств.</w:t>
            </w:r>
          </w:p>
          <w:p w14:paraId="31000000">
            <w:pPr>
              <w:spacing w:after="0" w:line="240" w:lineRule="auto"/>
              <w:ind/>
              <w:contextualSpacing w:val="1"/>
              <w:jc w:val="both"/>
              <w:rPr>
                <w:rFonts w:ascii="Times New Roman" w:hAnsi="Times New Roman"/>
                <w:i w:val="1"/>
                <w:sz w:val="24"/>
              </w:rPr>
            </w:pPr>
            <w:r>
              <w:rPr>
                <w:rFonts w:ascii="Times New Roman" w:hAnsi="Times New Roman"/>
                <w:i w:val="1"/>
                <w:sz w:val="24"/>
              </w:rPr>
              <w:t>Соответствие требованиям, подтверждается предоставлением одним из следующих документов:</w:t>
            </w:r>
          </w:p>
          <w:p w14:paraId="32000000">
            <w:pPr>
              <w:spacing w:after="0" w:line="240" w:lineRule="auto"/>
              <w:ind/>
              <w:contextualSpacing w:val="1"/>
              <w:jc w:val="both"/>
              <w:rPr>
                <w:rFonts w:ascii="Times New Roman" w:hAnsi="Times New Roman"/>
                <w:i w:val="1"/>
                <w:sz w:val="24"/>
              </w:rPr>
            </w:pPr>
            <w:r>
              <w:rPr>
                <w:rFonts w:ascii="Times New Roman" w:hAnsi="Times New Roman"/>
                <w:i w:val="1"/>
                <w:sz w:val="24"/>
              </w:rPr>
              <w:t>-  выписки из реестра лицензий (или копию такого документа);</w:t>
            </w:r>
          </w:p>
          <w:p w14:paraId="33000000">
            <w:pPr>
              <w:spacing w:after="0" w:line="240" w:lineRule="auto"/>
              <w:ind/>
              <w:contextualSpacing w:val="1"/>
              <w:jc w:val="both"/>
              <w:rPr>
                <w:rFonts w:ascii="Times New Roman" w:hAnsi="Times New Roman"/>
                <w:i w:val="1"/>
                <w:sz w:val="24"/>
              </w:rPr>
            </w:pPr>
            <w:r>
              <w:rPr>
                <w:rFonts w:ascii="Times New Roman" w:hAnsi="Times New Roman"/>
                <w:i w:val="1"/>
                <w:sz w:val="24"/>
              </w:rPr>
              <w:t>- уведомления о предоставлении лицензии, содержащее ссылку на сведения о предоставлении лицензии из реестра лицензий, размещенные в информационно-телекоммуникационной сети «Интернет» (или копию такого документа);</w:t>
            </w:r>
          </w:p>
          <w:p w14:paraId="34000000">
            <w:pPr>
              <w:spacing w:after="0" w:line="240" w:lineRule="auto"/>
              <w:ind/>
              <w:contextualSpacing w:val="1"/>
              <w:jc w:val="both"/>
              <w:rPr>
                <w:rFonts w:ascii="Times New Roman" w:hAnsi="Times New Roman"/>
                <w:i w:val="1"/>
                <w:sz w:val="24"/>
              </w:rPr>
            </w:pPr>
            <w:r>
              <w:rPr>
                <w:rFonts w:ascii="Times New Roman" w:hAnsi="Times New Roman"/>
                <w:i w:val="1"/>
                <w:sz w:val="24"/>
              </w:rPr>
              <w:t xml:space="preserve">- лицензией, выданной до 01.01.2021 г. (или копию такого документа). </w:t>
            </w:r>
          </w:p>
          <w:p w14:paraId="35000000">
            <w:pPr>
              <w:spacing w:after="0" w:line="240" w:lineRule="auto"/>
              <w:ind/>
              <w:contextualSpacing w:val="1"/>
              <w:jc w:val="both"/>
              <w:rPr>
                <w:rFonts w:ascii="Times New Roman" w:hAnsi="Times New Roman"/>
                <w:sz w:val="24"/>
              </w:rPr>
            </w:pPr>
            <w:r>
              <w:rPr>
                <w:rFonts w:ascii="Times New Roman" w:hAnsi="Times New Roman"/>
                <w:i w:val="1"/>
                <w:sz w:val="24"/>
              </w:rPr>
              <w:t>Достоверность сведений, вышеуказанных документов, проверяется в реестре лицензий (за исключением случаев невозможности доступа членов комиссии к указанным реестрам).</w:t>
            </w:r>
          </w:p>
          <w:p w14:paraId="36000000">
            <w:pPr>
              <w:spacing w:after="0" w:line="240" w:lineRule="auto"/>
              <w:ind/>
              <w:jc w:val="both"/>
            </w:pPr>
          </w:p>
          <w:p w14:paraId="37000000">
            <w:pPr>
              <w:spacing w:after="0" w:line="240" w:lineRule="auto"/>
              <w:ind/>
              <w:jc w:val="both"/>
            </w:pPr>
          </w:p>
          <w:p w14:paraId="38000000">
            <w:pPr>
              <w:spacing w:after="0" w:line="240" w:lineRule="auto"/>
              <w:ind/>
              <w:jc w:val="both"/>
            </w:pPr>
            <w:r>
              <w:t xml:space="preserve">В соответствии с Федеральным законом от 30.12.2006 №281-ФЗ «О специальных экономических мерах и принудительных мерах» участник закупки не должен являться юридическим или физическим лицом, включенным в перечень, утвержденный постановлением Правительства РФ от 11.05.2022 №851 «О мерах по реализации Указа Президента Российской Федерации от 3 мая 2022 г. №252», в отношении которого применяются специальные экономические меры, предусмотренные </w:t>
            </w:r>
            <w:r>
              <w:t>п.п</w:t>
            </w:r>
            <w:r>
              <w:t xml:space="preserve">. «а» п. 2 Указа Президента РФ от 03.05.2022 г. № 252, либо являться организацией, находящейся под контролем таких лиц. </w:t>
            </w:r>
          </w:p>
          <w:p w14:paraId="39000000">
            <w:pPr>
              <w:spacing w:after="0" w:line="240" w:lineRule="auto"/>
              <w:ind/>
              <w:jc w:val="both"/>
              <w:rPr>
                <w:color w:val="00B0F0"/>
              </w:rPr>
            </w:pPr>
            <w:r>
              <w:t>Представление информации или документов, подтверждающих о соответствии участника закупки вышеуказанному требованию, не требуются.</w:t>
            </w:r>
          </w:p>
        </w:tc>
      </w:tr>
      <w:tr>
        <w:tc>
          <w:tcPr>
            <w:tcW w:type="dxa" w:w="433"/>
            <w:tcBorders>
              <w:top w:color="000000" w:sz="4" w:val="single"/>
              <w:left w:color="000000" w:sz="4" w:val="single"/>
              <w:bottom w:color="000000" w:sz="4" w:val="single"/>
              <w:right w:color="000000" w:sz="4" w:val="single"/>
            </w:tcBorders>
            <w:shd w:fill="auto" w:val="clear"/>
          </w:tcPr>
          <w:p w14:paraId="3A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3B000000">
            <w:pPr>
              <w:spacing w:after="0" w:line="240" w:lineRule="auto"/>
              <w:ind/>
              <w:jc w:val="both"/>
              <w:rPr>
                <w:highlight w:val="white"/>
              </w:rPr>
            </w:pPr>
            <w:r>
              <w:t>Информация по предоставлению национального режима в соответствии с</w:t>
            </w:r>
            <w:r>
              <w:t xml:space="preserve"> </w:t>
            </w:r>
            <w:r>
              <w:t>пунктом 1 части 2 статьи</w:t>
            </w:r>
            <w:r>
              <w:t xml:space="preserve"> 3.1-4 Закона №223-ФЗ</w:t>
            </w:r>
          </w:p>
        </w:tc>
        <w:tc>
          <w:tcPr>
            <w:tcW w:type="dxa" w:w="5812"/>
            <w:tcBorders>
              <w:top w:color="000000" w:sz="4" w:val="single"/>
              <w:left w:color="000000" w:sz="4" w:val="single"/>
              <w:bottom w:color="000000" w:sz="4" w:val="single"/>
              <w:right w:color="000000" w:sz="4" w:val="single"/>
            </w:tcBorders>
            <w:shd w:fill="auto" w:val="clear"/>
          </w:tcPr>
          <w:p w14:paraId="3C000000">
            <w:pPr>
              <w:spacing w:after="0" w:before="120" w:line="240" w:lineRule="auto"/>
              <w:ind/>
              <w:jc w:val="both"/>
            </w:pPr>
            <w:bookmarkStart w:id="2" w:name="_GoBack"/>
            <w:bookmarkEnd w:id="2"/>
            <w:r>
              <w:t>Установлено</w:t>
            </w:r>
            <w:r>
              <w:t xml:space="preserve"> </w:t>
            </w:r>
            <w:r>
              <w:rPr>
                <w:b w:val="1"/>
              </w:rPr>
              <w:t>ограничение</w:t>
            </w:r>
            <w:r>
              <w:rPr>
                <w:b w:val="1"/>
              </w:rPr>
              <w:t xml:space="preserve"> </w:t>
            </w:r>
            <w:r>
              <w:rPr>
                <w:b w:val="1"/>
              </w:rPr>
              <w:t>закупок</w:t>
            </w:r>
            <w:r>
              <w:rPr>
                <w:b w:val="1"/>
              </w:rPr>
              <w:t xml:space="preserve"> </w:t>
            </w:r>
            <w:r>
              <w:rPr>
                <w:b w:val="1"/>
              </w:rPr>
              <w:t>товаров</w:t>
            </w:r>
            <w:r>
              <w:rPr>
                <w:b w:val="1"/>
              </w:rPr>
              <w:t xml:space="preserve">, </w:t>
            </w:r>
            <w:r>
              <w:rPr>
                <w:b w:val="1"/>
              </w:rPr>
              <w:t>происходящих</w:t>
            </w:r>
            <w:r>
              <w:rPr>
                <w:b w:val="1"/>
              </w:rPr>
              <w:t xml:space="preserve"> </w:t>
            </w:r>
            <w:r>
              <w:rPr>
                <w:b w:val="1"/>
              </w:rPr>
              <w:t>из</w:t>
            </w:r>
            <w:r>
              <w:rPr>
                <w:b w:val="1"/>
              </w:rPr>
              <w:t xml:space="preserve"> </w:t>
            </w:r>
            <w:r>
              <w:rPr>
                <w:b w:val="1"/>
              </w:rPr>
              <w:t>иностранных</w:t>
            </w:r>
            <w:r>
              <w:rPr>
                <w:b w:val="1"/>
              </w:rPr>
              <w:t xml:space="preserve"> </w:t>
            </w:r>
            <w:r>
              <w:rPr>
                <w:b w:val="1"/>
              </w:rPr>
              <w:t>государств</w:t>
            </w:r>
            <w:r>
              <w:rPr>
                <w:b w:val="1"/>
              </w:rPr>
              <w:t xml:space="preserve">, </w:t>
            </w:r>
            <w:r>
              <w:rPr>
                <w:b w:val="1"/>
              </w:rPr>
              <w:t>выполняемых</w:t>
            </w:r>
            <w:r>
              <w:rPr>
                <w:b w:val="1"/>
              </w:rPr>
              <w:t xml:space="preserve"> </w:t>
            </w:r>
            <w:r>
              <w:rPr>
                <w:b w:val="1"/>
              </w:rPr>
              <w:t>работ</w:t>
            </w:r>
            <w:r>
              <w:rPr>
                <w:b w:val="1"/>
              </w:rPr>
              <w:t xml:space="preserve">, </w:t>
            </w:r>
            <w:r>
              <w:rPr>
                <w:b w:val="1"/>
              </w:rPr>
              <w:t>оказываемых</w:t>
            </w:r>
            <w:r>
              <w:rPr>
                <w:b w:val="1"/>
              </w:rPr>
              <w:t xml:space="preserve"> </w:t>
            </w:r>
            <w:r>
              <w:rPr>
                <w:b w:val="1"/>
              </w:rPr>
              <w:t>услуг</w:t>
            </w:r>
            <w:r>
              <w:rPr>
                <w:b w:val="1"/>
              </w:rPr>
              <w:t xml:space="preserve"> </w:t>
            </w:r>
            <w:r>
              <w:rPr>
                <w:b w:val="1"/>
              </w:rPr>
              <w:t>иностранными</w:t>
            </w:r>
            <w:r>
              <w:rPr>
                <w:b w:val="1"/>
              </w:rPr>
              <w:t xml:space="preserve"> </w:t>
            </w:r>
            <w:r>
              <w:rPr>
                <w:b w:val="1"/>
              </w:rPr>
              <w:t>лицами</w:t>
            </w:r>
            <w:r>
              <w:t xml:space="preserve">, </w:t>
            </w:r>
            <w:r>
              <w:t>в</w:t>
            </w:r>
            <w:r>
              <w:t xml:space="preserve"> </w:t>
            </w:r>
            <w:r>
              <w:t>соответствии</w:t>
            </w:r>
            <w:r>
              <w:t xml:space="preserve"> </w:t>
            </w:r>
            <w:r>
              <w:t>с</w:t>
            </w:r>
            <w:r>
              <w:t xml:space="preserve"> </w:t>
            </w:r>
            <w:r>
              <w:t>частью</w:t>
            </w:r>
            <w:r>
              <w:t xml:space="preserve"> 2 </w:t>
            </w:r>
            <w:r>
              <w:t>документации</w:t>
            </w:r>
            <w:r>
              <w:t>.</w:t>
            </w:r>
          </w:p>
        </w:tc>
      </w:tr>
      <w:tr>
        <w:tc>
          <w:tcPr>
            <w:tcW w:type="dxa" w:w="433"/>
            <w:tcBorders>
              <w:top w:color="000000" w:sz="4" w:val="single"/>
              <w:left w:color="000000" w:sz="4" w:val="single"/>
              <w:bottom w:color="000000" w:sz="4" w:val="single"/>
              <w:right w:color="000000" w:sz="4" w:val="single"/>
            </w:tcBorders>
            <w:shd w:fill="auto" w:val="clear"/>
          </w:tcPr>
          <w:p w14:paraId="3D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3E000000">
            <w:pPr>
              <w:spacing w:after="0" w:line="240" w:lineRule="auto"/>
              <w:ind/>
              <w:jc w:val="both"/>
              <w:rPr>
                <w:highlight w:val="white"/>
              </w:rPr>
            </w:pPr>
            <w:r>
              <w:t>Требования, установленные в соответствии с законодательством РФ к товару, работе, услуге.</w:t>
            </w:r>
          </w:p>
        </w:tc>
        <w:tc>
          <w:tcPr>
            <w:tcW w:type="dxa" w:w="5812"/>
            <w:tcBorders>
              <w:top w:color="000000" w:sz="4" w:val="single"/>
              <w:left w:color="000000" w:sz="4" w:val="single"/>
              <w:bottom w:color="000000" w:sz="4" w:val="single"/>
              <w:right w:color="000000" w:sz="4" w:val="single"/>
            </w:tcBorders>
            <w:shd w:fill="auto" w:val="clear"/>
          </w:tcPr>
          <w:p w14:paraId="3F000000">
            <w:pPr>
              <w:spacing w:after="0" w:line="240" w:lineRule="auto"/>
              <w:ind/>
              <w:contextualSpacing w:val="1"/>
              <w:rPr>
                <w:rFonts w:ascii="Times New Roman" w:hAnsi="Times New Roman"/>
                <w:sz w:val="24"/>
              </w:rPr>
            </w:pPr>
            <w:r>
              <w:rPr>
                <w:rFonts w:ascii="Times New Roman" w:hAnsi="Times New Roman"/>
                <w:sz w:val="24"/>
              </w:rPr>
              <w:t xml:space="preserve">Вторая часть заявки на участие </w:t>
            </w:r>
            <w:r>
              <w:rPr>
                <w:rFonts w:ascii="Times New Roman" w:hAnsi="Times New Roman"/>
                <w:sz w:val="24"/>
              </w:rPr>
              <w:t xml:space="preserve">аукционе </w:t>
            </w:r>
            <w:r>
              <w:rPr>
                <w:rFonts w:ascii="Times New Roman" w:hAnsi="Times New Roman"/>
                <w:sz w:val="24"/>
              </w:rPr>
              <w:t>должна содержать</w:t>
            </w:r>
            <w:r>
              <w:rPr>
                <w:rFonts w:ascii="Times New Roman" w:hAnsi="Times New Roman"/>
                <w:sz w:val="24"/>
              </w:rPr>
              <w:t>:</w:t>
            </w:r>
          </w:p>
          <w:p w14:paraId="40000000">
            <w:pPr>
              <w:spacing w:after="0" w:line="240" w:lineRule="auto"/>
              <w:ind/>
              <w:contextualSpacing w:val="1"/>
              <w:rPr>
                <w:rFonts w:ascii="Times New Roman" w:hAnsi="Times New Roman"/>
                <w:sz w:val="24"/>
              </w:rPr>
            </w:pPr>
            <w:r>
              <w:rPr>
                <w:rFonts w:ascii="Times New Roman" w:hAnsi="Times New Roman"/>
                <w:sz w:val="24"/>
              </w:rPr>
              <w:t xml:space="preserve">- </w:t>
            </w:r>
            <w:r>
              <w:rPr>
                <w:rFonts w:ascii="Times New Roman" w:hAnsi="Times New Roman"/>
                <w:sz w:val="24"/>
              </w:rPr>
              <w:t xml:space="preserve">номер </w:t>
            </w:r>
            <w:r>
              <w:rPr>
                <w:rFonts w:ascii="Times New Roman" w:hAnsi="Times New Roman"/>
                <w:sz w:val="24"/>
              </w:rPr>
              <w:t>запис</w:t>
            </w:r>
            <w:r>
              <w:rPr>
                <w:rFonts w:ascii="Times New Roman" w:hAnsi="Times New Roman"/>
                <w:sz w:val="24"/>
              </w:rPr>
              <w:t>и</w:t>
            </w:r>
            <w:r>
              <w:rPr>
                <w:rFonts w:ascii="Times New Roman" w:hAnsi="Times New Roman"/>
                <w:sz w:val="24"/>
              </w:rPr>
              <w:t xml:space="preserve"> в ГРЛС, подтверждающ</w:t>
            </w:r>
            <w:r>
              <w:rPr>
                <w:rFonts w:ascii="Times New Roman" w:hAnsi="Times New Roman"/>
                <w:sz w:val="24"/>
              </w:rPr>
              <w:t xml:space="preserve">ий </w:t>
            </w:r>
            <w:r>
              <w:rPr>
                <w:rFonts w:ascii="Times New Roman" w:hAnsi="Times New Roman"/>
                <w:sz w:val="24"/>
              </w:rPr>
              <w:t>факт государственной регистрации лекарственного препарата (</w:t>
            </w:r>
            <w:r>
              <w:rPr>
                <w:rFonts w:ascii="Times New Roman" w:hAnsi="Times New Roman"/>
                <w:sz w:val="24"/>
              </w:rPr>
              <w:t>фарм.</w:t>
            </w:r>
            <w:r>
              <w:rPr>
                <w:rFonts w:ascii="Times New Roman" w:hAnsi="Times New Roman"/>
                <w:sz w:val="24"/>
              </w:rPr>
              <w:t xml:space="preserve"> субстанции), и (или) </w:t>
            </w:r>
            <w:r>
              <w:rPr>
                <w:rFonts w:ascii="Times New Roman" w:hAnsi="Times New Roman"/>
                <w:sz w:val="24"/>
              </w:rPr>
              <w:t>выписки ГРЛС (копии)</w:t>
            </w:r>
            <w:r>
              <w:rPr>
                <w:rFonts w:ascii="Times New Roman" w:hAnsi="Times New Roman"/>
                <w:sz w:val="24"/>
              </w:rPr>
              <w:t>, подтверждающ</w:t>
            </w:r>
            <w:r>
              <w:rPr>
                <w:rFonts w:ascii="Times New Roman" w:hAnsi="Times New Roman"/>
                <w:sz w:val="24"/>
              </w:rPr>
              <w:t>е</w:t>
            </w:r>
            <w:r>
              <w:rPr>
                <w:rFonts w:ascii="Times New Roman" w:hAnsi="Times New Roman"/>
                <w:sz w:val="24"/>
              </w:rPr>
              <w:t>й факт государственной регистрации (регистрации) лекарственного препарата (</w:t>
            </w:r>
            <w:r>
              <w:rPr>
                <w:rFonts w:ascii="Times New Roman" w:hAnsi="Times New Roman"/>
                <w:sz w:val="24"/>
              </w:rPr>
              <w:t>фарм.</w:t>
            </w:r>
            <w:r>
              <w:rPr>
                <w:rFonts w:ascii="Times New Roman" w:hAnsi="Times New Roman"/>
                <w:sz w:val="24"/>
              </w:rPr>
              <w:t xml:space="preserve"> субстанции); </w:t>
            </w:r>
          </w:p>
          <w:p w14:paraId="41000000">
            <w:pPr>
              <w:spacing w:after="0" w:line="240" w:lineRule="auto"/>
              <w:ind/>
              <w:contextualSpacing w:val="1"/>
              <w:rPr>
                <w:rFonts w:ascii="Times New Roman" w:hAnsi="Times New Roman"/>
                <w:b w:val="1"/>
                <w:sz w:val="24"/>
              </w:rPr>
            </w:pPr>
            <w:r>
              <w:rPr>
                <w:rFonts w:ascii="Times New Roman" w:hAnsi="Times New Roman"/>
                <w:b w:val="1"/>
                <w:sz w:val="24"/>
              </w:rPr>
              <w:t xml:space="preserve">ИЛИ </w:t>
            </w:r>
          </w:p>
          <w:p w14:paraId="42000000">
            <w:pPr>
              <w:spacing w:after="0" w:line="240" w:lineRule="auto"/>
              <w:ind/>
              <w:contextualSpacing w:val="1"/>
              <w:rPr>
                <w:rFonts w:ascii="Times New Roman" w:hAnsi="Times New Roman"/>
                <w:sz w:val="24"/>
              </w:rPr>
            </w:pPr>
            <w:r>
              <w:rPr>
                <w:rFonts w:ascii="Times New Roman" w:hAnsi="Times New Roman"/>
                <w:sz w:val="24"/>
              </w:rPr>
              <w:t>-копии действующих регистрационных удостоверений лекарственных препаратов / фармацевтических субстанций для медицинского применения.</w:t>
            </w:r>
          </w:p>
        </w:tc>
      </w:tr>
      <w:tr>
        <w:tc>
          <w:tcPr>
            <w:tcW w:type="dxa" w:w="433"/>
            <w:tcBorders>
              <w:top w:color="000000" w:sz="4" w:val="single"/>
              <w:left w:color="000000" w:sz="4" w:val="single"/>
              <w:bottom w:color="000000" w:sz="4" w:val="single"/>
              <w:right w:color="000000" w:sz="4" w:val="single"/>
            </w:tcBorders>
            <w:shd w:fill="auto" w:val="clear"/>
          </w:tcPr>
          <w:p w14:paraId="43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44000000">
            <w:pPr>
              <w:spacing w:after="0" w:line="240" w:lineRule="auto"/>
              <w:ind/>
              <w:jc w:val="both"/>
            </w:pPr>
            <w:r>
              <w:rPr>
                <w:highlight w:val="white"/>
              </w:rPr>
              <w:t xml:space="preserve">Форма, порядок, дата и время окончания срока предоставления участникам закупки разъяснений </w:t>
            </w:r>
            <w:r>
              <w:rPr>
                <w:highlight w:val="white"/>
              </w:rPr>
              <w:t xml:space="preserve">положений </w:t>
            </w:r>
            <w:r>
              <w:rPr>
                <w:highlight w:val="white"/>
              </w:rPr>
              <w:t>документации</w:t>
            </w:r>
            <w:r>
              <w:rPr>
                <w:highlight w:val="white"/>
              </w:rPr>
              <w:t>.</w:t>
            </w:r>
          </w:p>
        </w:tc>
        <w:tc>
          <w:tcPr>
            <w:tcW w:type="dxa" w:w="5812"/>
            <w:tcBorders>
              <w:top w:color="000000" w:sz="4" w:val="single"/>
              <w:left w:color="000000" w:sz="4" w:val="single"/>
              <w:bottom w:color="000000" w:sz="4" w:val="single"/>
              <w:right w:color="000000" w:sz="4" w:val="single"/>
            </w:tcBorders>
            <w:shd w:fill="auto" w:val="clear"/>
          </w:tcPr>
          <w:p w14:paraId="45000000">
            <w:pPr>
              <w:spacing w:after="0" w:before="120" w:line="240" w:lineRule="auto"/>
              <w:ind/>
              <w:jc w:val="both"/>
            </w:pPr>
            <w:r>
              <w:t>Дата и время окончания срока предоставления разъяснений:</w:t>
            </w:r>
          </w:p>
          <w:p w14:paraId="46000000">
            <w:pPr>
              <w:spacing w:after="0" w:before="120" w:line="240" w:lineRule="auto"/>
              <w:ind/>
              <w:jc w:val="both"/>
              <w:rPr>
                <w:highlight w:val="white"/>
              </w:rPr>
            </w:pPr>
            <w:r>
              <w:t>15.12.2025</w:t>
            </w:r>
            <w:r>
              <w:t xml:space="preserve"> </w:t>
            </w:r>
            <w:r>
              <w:t>года</w:t>
            </w:r>
            <w:r>
              <w:t xml:space="preserve"> </w:t>
            </w:r>
            <w:r>
              <w:t>в</w:t>
            </w:r>
            <w:r>
              <w:t xml:space="preserve"> </w:t>
            </w:r>
            <w:r>
              <w:t>11</w:t>
            </w:r>
            <w:r>
              <w:t>:</w:t>
            </w:r>
            <w:r>
              <w:t>00</w:t>
            </w:r>
            <w:r>
              <w:t>:</w:t>
            </w:r>
            <w:r>
              <w:t>00</w:t>
            </w:r>
            <w:r>
              <w:t xml:space="preserve"> </w:t>
            </w:r>
            <w:r>
              <w:t>ч</w:t>
            </w:r>
            <w:r>
              <w:t>.</w:t>
            </w:r>
          </w:p>
          <w:p w14:paraId="47000000">
            <w:pPr>
              <w:spacing w:after="0" w:line="240" w:lineRule="auto"/>
              <w:ind/>
              <w:jc w:val="both"/>
              <w:rPr>
                <w:highlight w:val="white"/>
              </w:rPr>
            </w:pPr>
          </w:p>
          <w:p w14:paraId="48000000">
            <w:pPr>
              <w:spacing w:after="0" w:line="240" w:lineRule="auto"/>
              <w:ind/>
              <w:jc w:val="both"/>
              <w:rPr>
                <w:highlight w:val="white"/>
              </w:rPr>
            </w:pPr>
            <w:r>
              <w:rPr>
                <w:highlight w:val="white"/>
              </w:rPr>
              <w:t xml:space="preserve">В </w:t>
            </w:r>
            <w:r>
              <w:rPr>
                <w:highlight w:val="white"/>
              </w:rPr>
              <w:t xml:space="preserve">течение трех рабочих дней с даты поступления запроса о даче разъяснений положений </w:t>
            </w:r>
            <w:r>
              <w:rPr>
                <w:highlight w:val="white"/>
              </w:rPr>
              <w:t>документации</w:t>
            </w:r>
            <w:r>
              <w:rPr>
                <w:highlight w:val="white"/>
              </w:rPr>
              <w:t>, заказчик осуществляет</w:t>
            </w:r>
            <w:r>
              <w:rPr>
                <w:highlight w:val="white"/>
              </w:rPr>
              <w:t xml:space="preserve"> </w:t>
            </w:r>
            <w:r>
              <w:rPr>
                <w:highlight w:val="white"/>
              </w:rPr>
              <w:t>разъяснение</w:t>
            </w:r>
            <w:r>
              <w:rPr>
                <w:highlight w:val="white"/>
              </w:rPr>
              <w:t xml:space="preserve"> </w:t>
            </w:r>
            <w:r>
              <w:rPr>
                <w:highlight w:val="white"/>
              </w:rPr>
              <w:t xml:space="preserve">положений </w:t>
            </w:r>
            <w:r>
              <w:rPr>
                <w:highlight w:val="white"/>
              </w:rPr>
              <w:t>документации</w:t>
            </w:r>
            <w:r>
              <w:rPr>
                <w:highlight w:val="white"/>
              </w:rPr>
              <w:t xml:space="preserve"> и размещает их в </w:t>
            </w:r>
            <w:r>
              <w:rPr>
                <w:highlight w:val="white"/>
              </w:rPr>
              <w:t>ЕИС</w:t>
            </w:r>
            <w:r>
              <w:rPr>
                <w:highlight w:val="white"/>
              </w:rPr>
              <w:t xml:space="preserve"> </w:t>
            </w:r>
            <w:r>
              <w:rPr>
                <w:highlight w:val="white"/>
              </w:rPr>
              <w:t xml:space="preserve">с указанием предмета запроса, но без указания участника такой закупки, от которого поступил указанный запрос. </w:t>
            </w:r>
          </w:p>
          <w:p w14:paraId="49000000">
            <w:pPr>
              <w:spacing w:after="0" w:line="240" w:lineRule="auto"/>
              <w:ind/>
              <w:jc w:val="both"/>
            </w:pPr>
            <w:r>
              <w:rPr>
                <w:highlight w:val="white"/>
              </w:rPr>
              <w:t>При этом заказчик вправе</w:t>
            </w:r>
            <w:r>
              <w:rPr>
                <w:highlight w:val="white"/>
              </w:rPr>
              <w:t xml:space="preserve">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tc>
      </w:tr>
      <w:tr>
        <w:tc>
          <w:tcPr>
            <w:tcW w:type="dxa" w:w="433"/>
            <w:tcBorders>
              <w:top w:color="000000" w:sz="4" w:val="single"/>
              <w:left w:color="000000" w:sz="4" w:val="single"/>
              <w:bottom w:color="000000" w:sz="4" w:val="single"/>
              <w:right w:color="000000" w:sz="4" w:val="single"/>
            </w:tcBorders>
            <w:shd w:fill="auto" w:val="clear"/>
          </w:tcPr>
          <w:p w14:paraId="4A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4B000000">
            <w:pPr>
              <w:spacing w:after="0" w:line="240" w:lineRule="auto"/>
              <w:ind/>
              <w:jc w:val="both"/>
            </w:pPr>
            <w:r>
              <w:t>Д</w:t>
            </w:r>
            <w:r>
              <w:t>ата начала, дата и время окончания срока подачи заявок на участие в закупке</w:t>
            </w:r>
            <w:r>
              <w:t>.</w:t>
            </w:r>
          </w:p>
        </w:tc>
        <w:tc>
          <w:tcPr>
            <w:tcW w:type="dxa" w:w="5812"/>
            <w:tcBorders>
              <w:top w:color="000000" w:sz="4" w:val="single"/>
              <w:left w:color="000000" w:sz="4" w:val="single"/>
              <w:bottom w:color="000000" w:sz="4" w:val="single"/>
              <w:right w:color="000000" w:sz="4" w:val="single"/>
            </w:tcBorders>
            <w:shd w:fill="auto" w:val="clear"/>
          </w:tcPr>
          <w:p w14:paraId="4C000000">
            <w:pPr>
              <w:spacing w:after="0" w:before="120" w:line="240" w:lineRule="auto"/>
              <w:ind/>
              <w:jc w:val="both"/>
            </w:pPr>
            <w:r>
              <w:t xml:space="preserve">Дата </w:t>
            </w:r>
            <w:r>
              <w:t>начала подачи заявок:</w:t>
            </w:r>
            <w:r>
              <w:t xml:space="preserve"> </w:t>
            </w:r>
            <w:r>
              <w:t xml:space="preserve">с даты размещения извещения в </w:t>
            </w:r>
            <w:r>
              <w:t>ЕИС</w:t>
            </w:r>
          </w:p>
          <w:p w14:paraId="4D000000">
            <w:pPr>
              <w:spacing w:after="0" w:before="120" w:line="240" w:lineRule="auto"/>
              <w:ind/>
              <w:jc w:val="both"/>
            </w:pPr>
            <w:r>
              <w:t>Дата и время окончания срока подачи заявок:</w:t>
            </w:r>
          </w:p>
          <w:p w14:paraId="4E000000">
            <w:pPr>
              <w:spacing w:after="0" w:line="240" w:lineRule="auto"/>
              <w:ind/>
              <w:contextualSpacing w:val="1"/>
              <w:jc w:val="both"/>
            </w:pPr>
            <w:r>
              <w:t>16.12.2025</w:t>
            </w:r>
            <w:r>
              <w:t xml:space="preserve"> </w:t>
            </w:r>
            <w:r>
              <w:t>года</w:t>
            </w:r>
            <w:r>
              <w:t xml:space="preserve"> </w:t>
            </w:r>
            <w:r>
              <w:t>в</w:t>
            </w:r>
            <w:r>
              <w:t> </w:t>
            </w:r>
            <w:r>
              <w:t>11:00:00</w:t>
            </w:r>
            <w:r>
              <w:t xml:space="preserve"> </w:t>
            </w:r>
            <w:r>
              <w:t>ч</w:t>
            </w:r>
            <w:r>
              <w:t>.</w:t>
            </w:r>
          </w:p>
          <w:p w14:paraId="4F000000">
            <w:pPr>
              <w:spacing w:after="0" w:line="240" w:lineRule="auto"/>
              <w:ind/>
              <w:contextualSpacing w:val="1"/>
              <w:jc w:val="both"/>
            </w:pPr>
          </w:p>
        </w:tc>
      </w:tr>
      <w:tr>
        <w:tc>
          <w:tcPr>
            <w:tcW w:type="dxa" w:w="433"/>
            <w:tcBorders>
              <w:top w:color="000000" w:sz="4" w:val="single"/>
              <w:left w:color="000000" w:sz="4" w:val="single"/>
              <w:bottom w:color="000000" w:sz="4" w:val="single"/>
              <w:right w:color="000000" w:sz="4" w:val="single"/>
            </w:tcBorders>
            <w:shd w:fill="auto" w:val="clear"/>
          </w:tcPr>
          <w:p w14:paraId="50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51000000">
            <w:pPr>
              <w:spacing w:after="0" w:line="240" w:lineRule="auto"/>
              <w:ind/>
              <w:jc w:val="both"/>
            </w:pPr>
            <w:r>
              <w:t xml:space="preserve">Место подачи заявок </w:t>
            </w:r>
            <w:r>
              <w:rPr>
                <w:i w:val="1"/>
              </w:rPr>
              <w:t>(адрес электронной площадки в информационно-телекоммуникационной сети «Интернет»).</w:t>
            </w:r>
          </w:p>
        </w:tc>
        <w:tc>
          <w:tcPr>
            <w:tcW w:type="dxa" w:w="5812"/>
            <w:tcBorders>
              <w:top w:color="000000" w:sz="4" w:val="single"/>
              <w:left w:color="000000" w:sz="4" w:val="single"/>
              <w:bottom w:color="000000" w:sz="4" w:val="single"/>
              <w:right w:color="000000" w:sz="4" w:val="single"/>
            </w:tcBorders>
            <w:shd w:fill="auto" w:val="clear"/>
          </w:tcPr>
          <w:p w14:paraId="52000000">
            <w:pPr>
              <w:ind/>
              <w:jc w:val="both"/>
            </w:pPr>
            <w:r>
              <w:t>АКЦИОНЕРНОЕ ОБЩЕСТВО ''ТЭК-ТОРГ''</w:t>
            </w:r>
            <w:r>
              <w:t xml:space="preserve"> (http://www.tektorg.ru)</w:t>
            </w:r>
          </w:p>
          <w:p w14:paraId="53000000">
            <w:pPr>
              <w:spacing w:after="0" w:before="120" w:line="240" w:lineRule="auto"/>
              <w:ind/>
              <w:jc w:val="both"/>
              <w:rPr>
                <w:highlight w:val="yellow"/>
              </w:rPr>
            </w:pPr>
            <w:r>
              <w:t>Документация доступна для</w:t>
            </w:r>
            <w:r>
              <w:t xml:space="preserve"> ознакомления в единой информационной системе, на электронной торговой площадке с момента ее опубликования без ограничений</w:t>
            </w:r>
          </w:p>
        </w:tc>
      </w:tr>
      <w:tr>
        <w:tc>
          <w:tcPr>
            <w:tcW w:type="dxa" w:w="433"/>
            <w:tcBorders>
              <w:top w:color="000000" w:sz="4" w:val="single"/>
              <w:left w:color="000000" w:sz="4" w:val="single"/>
              <w:bottom w:color="000000" w:sz="4" w:val="single"/>
              <w:right w:color="000000" w:sz="4" w:val="single"/>
            </w:tcBorders>
            <w:shd w:fill="auto" w:val="clear"/>
          </w:tcPr>
          <w:p w14:paraId="54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55000000">
            <w:pPr>
              <w:spacing w:after="0" w:line="240" w:lineRule="auto"/>
              <w:ind/>
              <w:jc w:val="both"/>
            </w:pPr>
            <w:r>
              <w:t>Порядок подачи заявок на участие в закупке.</w:t>
            </w:r>
          </w:p>
        </w:tc>
        <w:tc>
          <w:tcPr>
            <w:tcW w:type="dxa" w:w="5812"/>
            <w:tcBorders>
              <w:top w:color="000000" w:sz="4" w:val="single"/>
              <w:left w:color="000000" w:sz="4" w:val="single"/>
              <w:bottom w:color="000000" w:sz="4" w:val="single"/>
              <w:right w:color="000000" w:sz="4" w:val="single"/>
            </w:tcBorders>
            <w:shd w:fill="auto" w:val="clear"/>
          </w:tcPr>
          <w:p w14:paraId="56000000">
            <w:pPr>
              <w:spacing w:after="0" w:line="240" w:lineRule="auto"/>
              <w:ind/>
              <w:contextualSpacing w:val="1"/>
              <w:jc w:val="both"/>
              <w:rPr>
                <w:color w:val="FF0000"/>
              </w:rPr>
            </w:pPr>
            <w:r>
              <w:t xml:space="preserve">В соответствии с частью </w:t>
            </w:r>
            <w:r>
              <w:t>2</w:t>
            </w:r>
            <w:r>
              <w:t xml:space="preserve"> </w:t>
            </w:r>
            <w:r>
              <w:t>документации</w:t>
            </w:r>
            <w:r>
              <w:t>.</w:t>
            </w:r>
          </w:p>
        </w:tc>
      </w:tr>
      <w:tr>
        <w:trPr>
          <w:trHeight w:hRule="atLeast" w:val="819"/>
        </w:trPr>
        <w:tc>
          <w:tcPr>
            <w:tcW w:type="dxa" w:w="433"/>
            <w:tcBorders>
              <w:top w:color="000000" w:sz="4" w:val="single"/>
              <w:left w:color="000000" w:sz="4" w:val="single"/>
              <w:bottom w:color="000000" w:sz="4" w:val="single"/>
              <w:right w:color="000000" w:sz="4" w:val="single"/>
            </w:tcBorders>
            <w:shd w:fill="auto" w:val="clear"/>
          </w:tcPr>
          <w:p w14:paraId="57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58000000">
            <w:pPr>
              <w:spacing w:after="0" w:line="240" w:lineRule="auto"/>
              <w:ind/>
              <w:jc w:val="both"/>
            </w:pPr>
            <w:r>
              <w:t>Требования к содержанию, форме, оформлению и составу заявки на участие в закупке</w:t>
            </w:r>
          </w:p>
        </w:tc>
        <w:tc>
          <w:tcPr>
            <w:tcW w:type="dxa" w:w="5812"/>
            <w:tcBorders>
              <w:top w:color="000000" w:sz="4" w:val="single"/>
              <w:left w:color="000000" w:sz="4" w:val="single"/>
              <w:bottom w:color="000000" w:sz="4" w:val="single"/>
              <w:right w:color="000000" w:sz="4" w:val="single"/>
            </w:tcBorders>
            <w:shd w:fill="auto" w:val="clear"/>
          </w:tcPr>
          <w:p w14:paraId="59000000">
            <w:pPr>
              <w:spacing w:after="0" w:line="240" w:lineRule="auto"/>
              <w:ind/>
              <w:contextualSpacing w:val="1"/>
              <w:jc w:val="both"/>
              <w:rPr>
                <w:color w:val="FF0000"/>
              </w:rPr>
            </w:pPr>
            <w:r>
              <w:t>В соответствии с частью 2 документации</w:t>
            </w:r>
            <w:r>
              <w:t>.</w:t>
            </w:r>
          </w:p>
        </w:tc>
      </w:tr>
      <w:tr>
        <w:tc>
          <w:tcPr>
            <w:tcW w:type="dxa" w:w="433"/>
            <w:tcBorders>
              <w:top w:color="000000" w:sz="4" w:val="single"/>
              <w:left w:color="000000" w:sz="4" w:val="single"/>
              <w:bottom w:color="000000" w:sz="4" w:val="single"/>
              <w:right w:color="000000" w:sz="4" w:val="single"/>
            </w:tcBorders>
            <w:shd w:fill="auto" w:val="clear"/>
          </w:tcPr>
          <w:p w14:paraId="5A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5B000000">
            <w:pPr>
              <w:spacing w:after="0" w:line="240" w:lineRule="auto"/>
              <w:ind/>
              <w:jc w:val="both"/>
            </w:pPr>
            <w:r>
              <w:t>Дата рассмотрения предложений и оценки заявок участников закупки.</w:t>
            </w:r>
          </w:p>
        </w:tc>
        <w:tc>
          <w:tcPr>
            <w:tcW w:type="dxa" w:w="5812"/>
            <w:tcBorders>
              <w:top w:color="000000" w:sz="4" w:val="single"/>
              <w:left w:color="000000" w:sz="4" w:val="single"/>
              <w:bottom w:color="000000" w:sz="4" w:val="single"/>
              <w:right w:color="000000" w:sz="4" w:val="single"/>
            </w:tcBorders>
            <w:shd w:fill="auto" w:val="clear"/>
          </w:tcPr>
          <w:p w14:paraId="5C000000">
            <w:pPr>
              <w:spacing w:after="120" w:before="120" w:line="240" w:lineRule="auto"/>
              <w:ind/>
              <w:jc w:val="both"/>
            </w:pPr>
            <w:r>
              <w:t>19.12.2025</w:t>
            </w:r>
            <w:r>
              <w:t xml:space="preserve"> </w:t>
            </w:r>
            <w:r>
              <w:t>года</w:t>
            </w:r>
          </w:p>
        </w:tc>
      </w:tr>
      <w:tr>
        <w:tc>
          <w:tcPr>
            <w:tcW w:type="dxa" w:w="433"/>
            <w:tcBorders>
              <w:top w:color="000000" w:sz="4" w:val="single"/>
              <w:left w:color="000000" w:sz="4" w:val="single"/>
              <w:bottom w:color="000000" w:sz="4" w:val="single"/>
              <w:right w:color="000000" w:sz="4" w:val="single"/>
            </w:tcBorders>
            <w:shd w:fill="auto" w:val="clear"/>
          </w:tcPr>
          <w:p w14:paraId="5D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5E000000">
            <w:pPr>
              <w:spacing w:after="0" w:line="240" w:lineRule="auto"/>
              <w:ind/>
              <w:rPr>
                <w:highlight w:val="yellow"/>
              </w:rPr>
            </w:pPr>
            <w:r>
              <w:rPr>
                <w:highlight w:val="white"/>
              </w:rPr>
              <w:t>К</w:t>
            </w:r>
            <w:r>
              <w:rPr>
                <w:highlight w:val="white"/>
              </w:rPr>
              <w:t xml:space="preserve">ритерии оценки и сопоставления заявок на участие в </w:t>
            </w:r>
            <w:r>
              <w:rPr>
                <w:highlight w:val="white"/>
              </w:rPr>
              <w:t>конкурентной</w:t>
            </w:r>
            <w:r>
              <w:rPr>
                <w:highlight w:val="white"/>
              </w:rPr>
              <w:t xml:space="preserve"> закупке</w:t>
            </w:r>
          </w:p>
        </w:tc>
        <w:tc>
          <w:tcPr>
            <w:tcW w:type="dxa" w:w="5812"/>
            <w:tcBorders>
              <w:top w:color="000000" w:sz="4" w:val="single"/>
              <w:left w:color="000000" w:sz="4" w:val="single"/>
              <w:bottom w:color="000000" w:sz="4" w:val="single"/>
              <w:right w:color="000000" w:sz="4" w:val="single"/>
            </w:tcBorders>
            <w:shd w:fill="auto" w:val="clear"/>
          </w:tcPr>
          <w:p w14:paraId="5F000000">
            <w:pPr>
              <w:pStyle w:val="Style_6"/>
              <w:ind w:firstLine="0" w:left="0"/>
              <w:jc w:val="left"/>
            </w:pPr>
            <w:r>
              <w:rPr>
                <w:b w:val="0"/>
                <w:sz w:val="24"/>
              </w:rPr>
              <w:t>Не применяется</w:t>
            </w:r>
          </w:p>
        </w:tc>
      </w:tr>
      <w:tr>
        <w:tc>
          <w:tcPr>
            <w:tcW w:type="dxa" w:w="433"/>
            <w:tcBorders>
              <w:top w:color="000000" w:sz="4" w:val="single"/>
              <w:left w:color="000000" w:sz="4" w:val="single"/>
              <w:bottom w:color="000000" w:sz="4" w:val="single"/>
              <w:right w:color="000000" w:sz="4" w:val="single"/>
            </w:tcBorders>
            <w:shd w:fill="auto" w:val="clear"/>
          </w:tcPr>
          <w:p w14:paraId="60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61000000">
            <w:pPr>
              <w:spacing w:after="0" w:line="240" w:lineRule="auto"/>
              <w:ind/>
              <w:jc w:val="both"/>
              <w:rPr>
                <w:highlight w:val="yellow"/>
              </w:rPr>
            </w:pPr>
            <w:r>
              <w:rPr>
                <w:highlight w:val="white"/>
              </w:rPr>
              <w:t>П</w:t>
            </w:r>
            <w:r>
              <w:rPr>
                <w:highlight w:val="white"/>
              </w:rPr>
              <w:t xml:space="preserve">орядок оценки и сопоставления заявок на участие в </w:t>
            </w:r>
            <w:r>
              <w:rPr>
                <w:highlight w:val="white"/>
              </w:rPr>
              <w:t>конкурентной</w:t>
            </w:r>
            <w:r>
              <w:rPr>
                <w:highlight w:val="white"/>
              </w:rPr>
              <w:t xml:space="preserve"> закупке</w:t>
            </w:r>
          </w:p>
        </w:tc>
        <w:tc>
          <w:tcPr>
            <w:tcW w:type="dxa" w:w="5812"/>
            <w:tcBorders>
              <w:top w:color="000000" w:sz="4" w:val="single"/>
              <w:left w:color="000000" w:sz="4" w:val="single"/>
              <w:bottom w:color="000000" w:sz="4" w:val="single"/>
              <w:right w:color="000000" w:sz="4" w:val="single"/>
            </w:tcBorders>
            <w:shd w:fill="auto" w:val="clear"/>
          </w:tcPr>
          <w:p w14:paraId="62000000">
            <w:pPr>
              <w:pStyle w:val="Style_6"/>
              <w:ind w:firstLine="0" w:left="0"/>
              <w:jc w:val="left"/>
              <w:rPr>
                <w:b w:val="0"/>
                <w:sz w:val="24"/>
                <w:highlight w:val="yellow"/>
              </w:rPr>
            </w:pPr>
            <w:r>
              <w:rPr>
                <w:b w:val="0"/>
                <w:sz w:val="24"/>
              </w:rPr>
              <w:t>Не применяется</w:t>
            </w:r>
          </w:p>
        </w:tc>
      </w:tr>
      <w:tr>
        <w:tc>
          <w:tcPr>
            <w:tcW w:type="dxa" w:w="433"/>
            <w:tcBorders>
              <w:top w:color="000000" w:sz="4" w:val="single"/>
              <w:left w:color="000000" w:sz="4" w:val="single"/>
              <w:bottom w:color="000000" w:sz="4" w:val="single"/>
              <w:right w:color="000000" w:sz="4" w:val="single"/>
            </w:tcBorders>
            <w:shd w:fill="auto" w:val="clear"/>
          </w:tcPr>
          <w:p w14:paraId="63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64000000">
            <w:pPr>
              <w:spacing w:after="0" w:line="240" w:lineRule="auto"/>
              <w:ind/>
              <w:jc w:val="both"/>
            </w:pPr>
            <w:r>
              <w:t>Дата подведения итогов конкурентной закупки.</w:t>
            </w:r>
          </w:p>
        </w:tc>
        <w:tc>
          <w:tcPr>
            <w:tcW w:type="dxa" w:w="5812"/>
            <w:tcBorders>
              <w:top w:color="000000" w:sz="4" w:val="single"/>
              <w:left w:color="000000" w:sz="4" w:val="single"/>
              <w:bottom w:color="000000" w:sz="4" w:val="single"/>
              <w:right w:color="000000" w:sz="4" w:val="single"/>
            </w:tcBorders>
            <w:shd w:fill="auto" w:val="clear"/>
          </w:tcPr>
          <w:p w14:paraId="65000000">
            <w:pPr>
              <w:spacing w:after="120" w:before="120" w:line="240" w:lineRule="auto"/>
              <w:ind/>
              <w:jc w:val="both"/>
            </w:pPr>
            <w:r>
              <w:t>25.12.2025</w:t>
            </w:r>
            <w:r>
              <w:t xml:space="preserve"> </w:t>
            </w:r>
            <w:r>
              <w:t>года</w:t>
            </w:r>
            <w:r>
              <w:t xml:space="preserve"> </w:t>
            </w:r>
          </w:p>
        </w:tc>
      </w:tr>
      <w:tr>
        <w:tc>
          <w:tcPr>
            <w:tcW w:type="dxa" w:w="433"/>
            <w:tcBorders>
              <w:top w:color="000000" w:sz="4" w:val="single"/>
              <w:left w:color="000000" w:sz="4" w:val="single"/>
              <w:bottom w:color="000000" w:sz="4" w:val="single"/>
              <w:right w:color="000000" w:sz="4" w:val="single"/>
            </w:tcBorders>
            <w:shd w:fill="auto" w:val="clear"/>
          </w:tcPr>
          <w:p w14:paraId="66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67000000">
            <w:pPr>
              <w:spacing w:after="0" w:line="240" w:lineRule="auto"/>
              <w:ind/>
              <w:jc w:val="both"/>
            </w:pPr>
            <w:r>
              <w:t xml:space="preserve">Информация о заказчике: </w:t>
            </w:r>
          </w:p>
          <w:p w14:paraId="68000000">
            <w:pPr>
              <w:spacing w:after="0" w:line="240" w:lineRule="auto"/>
              <w:ind/>
              <w:jc w:val="both"/>
              <w:rPr>
                <w:i w:val="1"/>
              </w:rPr>
            </w:pPr>
            <w:r>
              <w:rPr>
                <w:i w:val="1"/>
              </w:rPr>
              <w:t>место нахождения, почтовый адрес, адрес электронной почты, номер контактного телефона</w:t>
            </w:r>
            <w:r>
              <w:rPr>
                <w:i w:val="1"/>
              </w:rPr>
              <w:t>.</w:t>
            </w:r>
          </w:p>
        </w:tc>
        <w:tc>
          <w:tcPr>
            <w:tcW w:type="dxa" w:w="5812"/>
            <w:tcBorders>
              <w:top w:color="000000" w:sz="4" w:val="single"/>
              <w:left w:color="000000" w:sz="4" w:val="single"/>
              <w:bottom w:color="000000" w:sz="4" w:val="single"/>
              <w:right w:color="000000" w:sz="4" w:val="single"/>
            </w:tcBorders>
            <w:shd w:fill="auto" w:val="clear"/>
          </w:tcPr>
          <w:p w14:paraId="69000000">
            <w:pPr>
              <w:spacing w:after="0" w:line="240" w:lineRule="auto"/>
              <w:ind/>
              <w:jc w:val="both"/>
            </w:pPr>
            <w:r>
              <w:t>ГОСУДАРСТВЕННОЕ АВТОНОМНОЕ</w:t>
            </w:r>
            <w:r>
              <w:t xml:space="preserve"> УЧРЕЖДЕНИЕ РЕСПУБЛИКИ САХА (ЯКУТИЯ) ''РЕСПУБЛИКАНСКАЯ БОЛЬНИЦА №1 - НАЦИОНАЛЬНЫЙ ЦЕНТР МЕДИЦИНЫ ИМЕНИ М.Е. НИКОЛАЕВА''</w:t>
            </w:r>
          </w:p>
          <w:p w14:paraId="6A000000">
            <w:pPr>
              <w:spacing w:after="0" w:line="240" w:lineRule="auto"/>
              <w:ind/>
              <w:jc w:val="both"/>
            </w:pPr>
            <w:r>
              <w:t>677010, РЕСПУБЛИКА</w:t>
            </w:r>
            <w:r>
              <w:t xml:space="preserve"> САХА (ЯКУТИЯ), г.о. ГОРОД ЯКУТСК, Г ЯКУТСК, Ш СЕРГЕЛЯХСКОЕ, Д. 4</w:t>
            </w:r>
            <w:r>
              <w:t xml:space="preserve">, </w:t>
            </w:r>
            <w:r>
              <w:t>677010, строение</w:t>
            </w:r>
            <w:r>
              <w:t xml:space="preserve"> 4</w:t>
            </w:r>
            <w:r>
              <w:t xml:space="preserve">, </w:t>
            </w:r>
            <w:r>
              <w:t>zakazncm@mail</w:t>
            </w:r>
            <w:r>
              <w:t>.ru</w:t>
            </w:r>
            <w:r>
              <w:t xml:space="preserve">, </w:t>
            </w:r>
            <w:r>
              <w:t>7-4112-395001</w:t>
            </w:r>
          </w:p>
        </w:tc>
      </w:tr>
      <w:tr>
        <w:tc>
          <w:tcPr>
            <w:tcW w:type="dxa" w:w="433"/>
            <w:tcBorders>
              <w:top w:color="000000" w:sz="4" w:val="single"/>
              <w:left w:color="000000" w:sz="4" w:val="single"/>
              <w:bottom w:color="000000" w:sz="4" w:val="single"/>
              <w:right w:color="000000" w:sz="4" w:val="single"/>
            </w:tcBorders>
            <w:shd w:fill="auto" w:val="clear"/>
          </w:tcPr>
          <w:p w14:paraId="6B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6C000000">
            <w:pPr>
              <w:spacing w:after="0" w:line="240" w:lineRule="auto"/>
              <w:ind/>
              <w:jc w:val="both"/>
              <w:rPr>
                <w:color w:val="00B0F0"/>
              </w:rPr>
            </w:pPr>
            <w:r>
              <w:t>Контактное лицо заказчика.</w:t>
            </w:r>
            <w:r>
              <w:rPr>
                <w:color w:val="00B0F0"/>
              </w:rPr>
              <w:t xml:space="preserve"> </w:t>
            </w:r>
          </w:p>
          <w:p w14:paraId="6D000000">
            <w:pPr>
              <w:spacing w:after="0" w:line="240" w:lineRule="auto"/>
              <w:ind/>
              <w:jc w:val="both"/>
              <w:rPr>
                <w:i w:val="1"/>
              </w:rPr>
            </w:pPr>
            <w:r>
              <w:rPr>
                <w:i w:val="1"/>
              </w:rPr>
              <w:t>ФИО, телефон, электронная почта</w:t>
            </w:r>
          </w:p>
          <w:p w14:paraId="6E000000">
            <w:pPr>
              <w:spacing w:after="0" w:line="240" w:lineRule="auto"/>
              <w:ind/>
              <w:jc w:val="both"/>
            </w:pPr>
          </w:p>
        </w:tc>
        <w:tc>
          <w:tcPr>
            <w:tcW w:type="dxa" w:w="5812"/>
            <w:tcBorders>
              <w:top w:color="000000" w:sz="4" w:val="single"/>
              <w:left w:color="000000" w:sz="4" w:val="single"/>
              <w:bottom w:color="000000" w:sz="4" w:val="single"/>
              <w:right w:color="000000" w:sz="4" w:val="single"/>
            </w:tcBorders>
            <w:shd w:fill="auto" w:val="clear"/>
          </w:tcPr>
          <w:p w14:paraId="6F000000">
            <w:pPr>
              <w:spacing w:after="0" w:line="240" w:lineRule="auto"/>
              <w:ind/>
              <w:jc w:val="both"/>
            </w:pPr>
            <w:r>
              <w:t>Алфёров Александр</w:t>
            </w:r>
            <w:r>
              <w:t xml:space="preserve"> Николаевич</w:t>
            </w:r>
            <w:r>
              <w:t xml:space="preserve">, </w:t>
            </w:r>
            <w:r>
              <w:t>8-4112-395886</w:t>
            </w:r>
            <w:r>
              <w:t xml:space="preserve">, </w:t>
            </w:r>
            <w:r>
              <w:t>zakazncm@mail</w:t>
            </w:r>
            <w:r>
              <w:t>.ru</w:t>
            </w:r>
          </w:p>
        </w:tc>
      </w:tr>
      <w:tr>
        <w:tc>
          <w:tcPr>
            <w:tcW w:type="dxa" w:w="433"/>
            <w:tcBorders>
              <w:top w:color="000000" w:sz="4" w:val="single"/>
              <w:left w:color="000000" w:sz="4" w:val="single"/>
              <w:bottom w:color="000000" w:sz="4" w:val="single"/>
              <w:right w:color="000000" w:sz="4" w:val="single"/>
            </w:tcBorders>
            <w:shd w:fill="auto" w:val="clear"/>
          </w:tcPr>
          <w:p w14:paraId="70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71000000">
            <w:pPr>
              <w:spacing w:after="0" w:line="240" w:lineRule="auto"/>
              <w:ind/>
              <w:jc w:val="both"/>
            </w:pPr>
            <w:r>
              <w:t>Банковские реквизиты счета заказчика, на котором в соответствии с законодательством РФ учитываются операции со средствами, поступающими заказчику.</w:t>
            </w:r>
          </w:p>
        </w:tc>
        <w:tc>
          <w:tcPr>
            <w:tcW w:type="dxa" w:w="5812"/>
            <w:tcBorders>
              <w:top w:color="000000" w:sz="4" w:val="single"/>
              <w:left w:color="000000" w:sz="4" w:val="single"/>
              <w:bottom w:color="000000" w:sz="4" w:val="single"/>
              <w:right w:color="000000" w:sz="4" w:val="single"/>
            </w:tcBorders>
            <w:shd w:fill="auto" w:val="clear"/>
          </w:tcPr>
          <w:p w14:paraId="72000000">
            <w:pPr>
              <w:spacing w:after="0"/>
              <w:ind/>
              <w:jc w:val="both"/>
            </w:pPr>
            <w:r>
              <w:t>ГОСУДАРСТВЕННОЕ АВТОНОМНОЕ УЧРЕЖДЕНИЕ РЕСПУБЛИКИ</w:t>
            </w:r>
            <w:r>
              <w:t xml:space="preserve"> САХА (ЯКУТИЯ) ''РЕСПУБЛИКАНСКАЯ БОЛЬНИЦА №1 - НАЦИОНАЛЬНЫЙ ЦЕНТР МЕДИЦИНЫ ИМЕНИ М.Е. НИКОЛАЕВА''</w:t>
            </w:r>
          </w:p>
          <w:p w14:paraId="73000000">
            <w:pPr>
              <w:spacing w:after="0"/>
              <w:ind/>
              <w:jc w:val="both"/>
            </w:pPr>
            <w:r>
              <w:t xml:space="preserve">ИНН: </w:t>
            </w:r>
            <w:r>
              <w:t>1435099188</w:t>
            </w:r>
          </w:p>
          <w:p w14:paraId="74000000">
            <w:pPr>
              <w:spacing w:after="0"/>
              <w:ind/>
              <w:jc w:val="both"/>
            </w:pPr>
            <w:r>
              <w:t>УФК по Республике</w:t>
            </w:r>
            <w:r>
              <w:t xml:space="preserve"> Саха (Якутия)</w:t>
            </w:r>
          </w:p>
          <w:p w14:paraId="75000000">
            <w:pPr>
              <w:spacing w:after="0"/>
              <w:ind/>
              <w:jc w:val="both"/>
            </w:pPr>
            <w:r>
              <w:t xml:space="preserve">БИК: </w:t>
            </w:r>
            <w:r>
              <w:t>019805001</w:t>
            </w:r>
          </w:p>
          <w:p w14:paraId="76000000">
            <w:pPr>
              <w:spacing w:after="0"/>
              <w:ind/>
              <w:jc w:val="both"/>
            </w:pPr>
            <w:r>
              <w:t xml:space="preserve">Расчетный счет: </w:t>
            </w:r>
            <w:r>
              <w:t>03224643980000001601</w:t>
            </w:r>
          </w:p>
          <w:p w14:paraId="77000000">
            <w:pPr>
              <w:spacing w:after="0" w:line="240" w:lineRule="auto"/>
              <w:ind/>
              <w:jc w:val="both"/>
            </w:pPr>
            <w:r>
              <w:t xml:space="preserve">Лицевой счет: </w:t>
            </w:r>
            <w:r>
              <w:t>30054035069</w:t>
            </w:r>
          </w:p>
        </w:tc>
      </w:tr>
      <w:tr>
        <w:tc>
          <w:tcPr>
            <w:tcW w:type="dxa" w:w="433"/>
            <w:tcBorders>
              <w:top w:color="000000" w:sz="4" w:val="single"/>
              <w:left w:color="000000" w:sz="4" w:val="single"/>
              <w:bottom w:color="000000" w:sz="4" w:val="single"/>
              <w:right w:color="000000" w:sz="4" w:val="single"/>
            </w:tcBorders>
            <w:shd w:fill="auto" w:val="clear"/>
          </w:tcPr>
          <w:p w14:paraId="78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79000000">
            <w:pPr>
              <w:spacing w:after="0" w:line="240" w:lineRule="auto"/>
              <w:ind/>
              <w:jc w:val="both"/>
            </w:pPr>
            <w:r>
              <w:t>Источник финансирования.</w:t>
            </w:r>
          </w:p>
        </w:tc>
        <w:tc>
          <w:tcPr>
            <w:tcW w:type="dxa" w:w="5812"/>
            <w:tcBorders>
              <w:top w:color="000000" w:sz="4" w:val="single"/>
              <w:left w:color="000000" w:sz="4" w:val="single"/>
              <w:bottom w:color="000000" w:sz="4" w:val="single"/>
              <w:right w:color="000000" w:sz="4" w:val="single"/>
            </w:tcBorders>
            <w:shd w:fill="auto" w:val="clear"/>
          </w:tcPr>
          <w:p w14:paraId="7A000000">
            <w:pPr>
              <w:spacing w:afterAutospacing="on" w:beforeAutospacing="on" w:line="240" w:lineRule="auto"/>
              <w:ind/>
              <w:jc w:val="both"/>
              <w:rPr>
                <w:color w:val="FF0000"/>
                <w:highlight w:val="green"/>
              </w:rPr>
            </w:pPr>
            <w:r>
              <w:t xml:space="preserve">Средства, полученные </w:t>
            </w:r>
            <w:r>
              <w:t>на оказание и оплату медицинской помощи по обязательному медицинскому страхованию.</w:t>
            </w:r>
          </w:p>
        </w:tc>
      </w:tr>
      <w:tr>
        <w:tc>
          <w:tcPr>
            <w:tcW w:type="dxa" w:w="433"/>
            <w:tcBorders>
              <w:top w:color="000000" w:sz="4" w:val="single"/>
              <w:left w:color="000000" w:sz="4" w:val="single"/>
              <w:bottom w:color="000000" w:sz="4" w:val="single"/>
              <w:right w:color="000000" w:sz="4" w:val="single"/>
            </w:tcBorders>
            <w:shd w:fill="auto" w:val="clear"/>
          </w:tcPr>
          <w:p w14:paraId="7B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7C000000">
            <w:pPr>
              <w:spacing w:after="0" w:line="240" w:lineRule="auto"/>
              <w:ind/>
              <w:jc w:val="both"/>
            </w:pPr>
            <w:r>
              <w:t xml:space="preserve">Размер обеспечения заявки на участие </w:t>
            </w:r>
            <w:r>
              <w:t xml:space="preserve">в </w:t>
            </w:r>
            <w:r>
              <w:t>аукционе</w:t>
            </w:r>
            <w:r>
              <w:t>.</w:t>
            </w:r>
          </w:p>
        </w:tc>
        <w:tc>
          <w:tcPr>
            <w:tcW w:type="dxa" w:w="5812"/>
            <w:tcBorders>
              <w:top w:color="000000" w:sz="4" w:val="single"/>
              <w:left w:color="000000" w:sz="4" w:val="single"/>
              <w:bottom w:color="000000" w:sz="4" w:val="single"/>
              <w:right w:color="000000" w:sz="4" w:val="single"/>
            </w:tcBorders>
            <w:shd w:fill="auto" w:val="clear"/>
          </w:tcPr>
          <w:p w14:paraId="7D000000">
            <w:pPr>
              <w:spacing w:after="0" w:line="240" w:lineRule="auto"/>
              <w:ind/>
              <w:jc w:val="both"/>
              <w:rPr>
                <w:color w:val="FF0000"/>
              </w:rPr>
            </w:pPr>
            <w:r>
              <w:t>1.00</w:t>
            </w:r>
            <w:r>
              <w:t>%</w:t>
            </w:r>
            <w:r>
              <w:t xml:space="preserve"> от начальной (максимальной) цены договора: </w:t>
            </w:r>
            <w:r>
              <w:t>157905.95</w:t>
            </w:r>
            <w:r>
              <w:t xml:space="preserve"> рублей.</w:t>
            </w:r>
          </w:p>
        </w:tc>
      </w:tr>
      <w:tr>
        <w:tc>
          <w:tcPr>
            <w:tcW w:type="dxa" w:w="433"/>
            <w:tcBorders>
              <w:top w:color="000000" w:sz="4" w:val="single"/>
              <w:left w:color="000000" w:sz="4" w:val="single"/>
              <w:bottom w:color="000000" w:sz="4" w:val="single"/>
              <w:right w:color="000000" w:sz="4" w:val="single"/>
            </w:tcBorders>
            <w:shd w:fill="auto" w:val="clear"/>
          </w:tcPr>
          <w:p w14:paraId="7E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7F000000">
            <w:pPr>
              <w:spacing w:after="0" w:line="240" w:lineRule="auto"/>
              <w:ind/>
              <w:jc w:val="both"/>
            </w:pPr>
            <w:r>
              <w:t xml:space="preserve">Размер обеспечения исполнения договора, размер обеспечения гарантийных обязательств  </w:t>
            </w:r>
          </w:p>
          <w:p w14:paraId="80000000">
            <w:pPr>
              <w:spacing w:after="0" w:line="240" w:lineRule="auto"/>
              <w:ind/>
              <w:jc w:val="both"/>
              <w:rPr>
                <w:color w:val="00B0F0"/>
              </w:rPr>
            </w:pPr>
          </w:p>
        </w:tc>
        <w:tc>
          <w:tcPr>
            <w:tcW w:type="dxa" w:w="5812"/>
            <w:tcBorders>
              <w:top w:color="000000" w:sz="4" w:val="single"/>
              <w:left w:color="000000" w:sz="4" w:val="single"/>
              <w:bottom w:color="000000" w:sz="4" w:val="single"/>
              <w:right w:color="000000" w:sz="4" w:val="single"/>
            </w:tcBorders>
            <w:shd w:fill="auto" w:val="clear"/>
          </w:tcPr>
          <w:p w14:paraId="81000000">
            <w:pPr>
              <w:spacing w:after="0"/>
              <w:ind/>
              <w:jc w:val="both"/>
            </w:pPr>
            <w:r>
              <w:t xml:space="preserve">Обеспечение исполнения договора: </w:t>
            </w:r>
          </w:p>
          <w:p w14:paraId="82000000">
            <w:pPr>
              <w:spacing w:after="0"/>
              <w:ind/>
              <w:jc w:val="both"/>
            </w:pPr>
          </w:p>
          <w:p w14:paraId="83000000">
            <w:pPr>
              <w:spacing w:after="0"/>
              <w:ind/>
              <w:jc w:val="both"/>
            </w:pPr>
            <w:r>
              <w:t>5.00</w:t>
            </w:r>
            <w:r>
              <w:t xml:space="preserve">% </w:t>
            </w:r>
            <w:r>
              <w:t xml:space="preserve">от </w:t>
            </w:r>
            <w:r>
              <w:t>цены договора (цены лота) в размере</w:t>
            </w:r>
            <w:r>
              <w:t xml:space="preserve"> </w:t>
            </w:r>
            <w:r>
              <w:t>789529.75</w:t>
            </w:r>
            <w:r>
              <w:t xml:space="preserve"> рублей.</w:t>
            </w:r>
          </w:p>
          <w:p w14:paraId="84000000">
            <w:pPr>
              <w:spacing w:after="0"/>
              <w:ind/>
            </w:pPr>
          </w:p>
          <w:p w14:paraId="85000000">
            <w:pPr>
              <w:ind/>
              <w:jc w:val="both"/>
            </w:pPr>
            <w:r>
              <w:t>Обеспечение гарантийных обязательств:</w:t>
            </w:r>
          </w:p>
          <w:p w14:paraId="86000000">
            <w:pPr>
              <w:spacing w:after="0" w:line="240" w:lineRule="auto"/>
              <w:ind/>
              <w:jc w:val="both"/>
            </w:pPr>
            <w:r>
              <w:t xml:space="preserve"> Не установлено </w:t>
            </w:r>
          </w:p>
          <w:p w14:paraId="87000000">
            <w:pPr>
              <w:spacing w:after="0" w:line="240" w:lineRule="auto"/>
              <w:ind/>
              <w:jc w:val="both"/>
            </w:pPr>
          </w:p>
          <w:p w14:paraId="88000000">
            <w:pPr>
              <w:spacing w:after="0" w:line="240" w:lineRule="auto"/>
              <w:ind/>
              <w:jc w:val="both"/>
            </w:pPr>
            <w:r>
              <w:t xml:space="preserve">Положения об обеспечении исполнения договора, включая положения о предоставлении такого </w:t>
            </w:r>
            <w:r>
              <w:t>обеспечения с учетом антидемпинговых мер, об обеспечении гарантийных обязательств не применяются в случае:</w:t>
            </w:r>
          </w:p>
          <w:p w14:paraId="89000000">
            <w:pPr>
              <w:spacing w:after="0" w:line="240" w:lineRule="auto"/>
              <w:ind/>
              <w:jc w:val="both"/>
            </w:pPr>
            <w:r>
              <w:t>1) заключения договора с участником закупки, который является казенным учреждением;</w:t>
            </w:r>
          </w:p>
          <w:p w14:paraId="8A000000">
            <w:pPr>
              <w:spacing w:after="0" w:line="240" w:lineRule="auto"/>
              <w:ind/>
              <w:jc w:val="both"/>
            </w:pPr>
            <w:r>
              <w:t>2) осуществления закупки услуги по предоставлению кредита.</w:t>
            </w:r>
          </w:p>
          <w:p w14:paraId="8B000000">
            <w:pPr>
              <w:spacing w:after="0" w:line="240" w:lineRule="auto"/>
              <w:ind/>
              <w:jc w:val="both"/>
            </w:pPr>
          </w:p>
        </w:tc>
      </w:tr>
      <w:tr>
        <w:tc>
          <w:tcPr>
            <w:tcW w:type="dxa" w:w="433"/>
            <w:tcBorders>
              <w:top w:color="000000" w:sz="4" w:val="single"/>
              <w:left w:color="000000" w:sz="4" w:val="single"/>
              <w:bottom w:color="000000" w:sz="4" w:val="single"/>
              <w:right w:color="000000" w:sz="4" w:val="single"/>
            </w:tcBorders>
            <w:shd w:fill="auto" w:val="clear"/>
          </w:tcPr>
          <w:p w14:paraId="8C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8D000000">
            <w:pPr>
              <w:spacing w:after="0" w:line="240" w:lineRule="auto"/>
              <w:ind/>
              <w:jc w:val="both"/>
            </w:pPr>
            <w:r>
              <w:t xml:space="preserve">Информация об организаторе закупки </w:t>
            </w:r>
            <w:r>
              <w:t>по организации и проведению закупки</w:t>
            </w:r>
            <w:r>
              <w:t>: наименование, место нахождения, почтовый адрес.</w:t>
            </w:r>
          </w:p>
        </w:tc>
        <w:tc>
          <w:tcPr>
            <w:tcW w:type="dxa" w:w="5812"/>
            <w:tcBorders>
              <w:top w:color="000000" w:sz="4" w:val="single"/>
              <w:left w:color="000000" w:sz="4" w:val="single"/>
              <w:bottom w:color="000000" w:sz="4" w:val="single"/>
              <w:right w:color="000000" w:sz="4" w:val="single"/>
            </w:tcBorders>
            <w:shd w:fill="auto" w:val="clear"/>
          </w:tcPr>
          <w:p w14:paraId="8E000000">
            <w:pPr>
              <w:spacing w:after="0" w:line="240" w:lineRule="auto"/>
              <w:ind/>
              <w:jc w:val="both"/>
            </w:pPr>
            <w:r>
              <w:t xml:space="preserve">ГОСУДАРСТВЕННОЕ КАЗЕННОЕ УЧРЕЖДЕНИЕ </w:t>
            </w:r>
            <w:r>
              <w:t>РЕСПУБЛИКИ САХА (ЯКУТИЯ) «ЦЕНТР ЗАКУПОК РЕСПУБЛИКИ САХА (ЯКУТИЯ)»</w:t>
            </w:r>
          </w:p>
          <w:p w14:paraId="8F000000">
            <w:pPr>
              <w:pStyle w:val="Style_7"/>
              <w:ind/>
              <w:jc w:val="both"/>
            </w:pPr>
            <w:r>
              <w:t>Российская Федерация</w:t>
            </w:r>
            <w:r>
              <w:t xml:space="preserve">, Саха /Якутия/ </w:t>
            </w:r>
            <w:r>
              <w:t>Респ</w:t>
            </w:r>
            <w:r>
              <w:t>, Якутск г, ПР-КТ ЛЕНИНА, 22</w:t>
            </w:r>
          </w:p>
          <w:p w14:paraId="90000000">
            <w:pPr>
              <w:spacing w:after="0" w:line="240" w:lineRule="auto"/>
              <w:ind/>
              <w:jc w:val="both"/>
            </w:pPr>
            <w:r>
              <w:t>Российская Федерация</w:t>
            </w:r>
            <w:r>
              <w:t xml:space="preserve">, 677000, Саха /Якутия/ </w:t>
            </w:r>
            <w:r>
              <w:t>Респ</w:t>
            </w:r>
            <w:r>
              <w:t>, Якутск г, проспект Ленина, 22, -</w:t>
            </w:r>
          </w:p>
        </w:tc>
      </w:tr>
      <w:tr>
        <w:tc>
          <w:tcPr>
            <w:tcW w:type="dxa" w:w="433"/>
            <w:tcBorders>
              <w:top w:color="000000" w:sz="4" w:val="single"/>
              <w:left w:color="000000" w:sz="4" w:val="single"/>
              <w:bottom w:color="000000" w:sz="4" w:val="single"/>
              <w:right w:color="000000" w:sz="4" w:val="single"/>
            </w:tcBorders>
            <w:shd w:fill="auto" w:val="clear"/>
          </w:tcPr>
          <w:p w14:paraId="91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92000000">
            <w:pPr>
              <w:spacing w:after="0" w:line="240" w:lineRule="auto"/>
              <w:ind/>
              <w:jc w:val="both"/>
              <w:rPr>
                <w:color w:val="00B0F0"/>
              </w:rPr>
            </w:pPr>
            <w:r>
              <w:t>Контактное лицо организатора закупки.</w:t>
            </w:r>
            <w:r>
              <w:rPr>
                <w:color w:val="00B0F0"/>
              </w:rPr>
              <w:t xml:space="preserve"> </w:t>
            </w:r>
          </w:p>
          <w:p w14:paraId="93000000">
            <w:pPr>
              <w:spacing w:after="0" w:line="240" w:lineRule="auto"/>
              <w:ind/>
              <w:jc w:val="both"/>
            </w:pPr>
            <w:r>
              <w:rPr>
                <w:i w:val="1"/>
              </w:rPr>
              <w:t>ФИО, телефон, электронная почта</w:t>
            </w:r>
            <w:r>
              <w:rPr>
                <w:color w:val="00B0F0"/>
              </w:rPr>
              <w:t xml:space="preserve"> </w:t>
            </w:r>
          </w:p>
        </w:tc>
        <w:tc>
          <w:tcPr>
            <w:tcW w:type="dxa" w:w="5812"/>
            <w:tcBorders>
              <w:top w:color="000000" w:sz="4" w:val="single"/>
              <w:left w:color="000000" w:sz="4" w:val="single"/>
              <w:bottom w:color="000000" w:sz="4" w:val="single"/>
              <w:right w:color="000000" w:sz="4" w:val="single"/>
            </w:tcBorders>
            <w:shd w:fill="auto" w:val="clear"/>
          </w:tcPr>
          <w:p w14:paraId="94000000">
            <w:pPr>
              <w:spacing w:after="0" w:line="240" w:lineRule="auto"/>
              <w:ind/>
              <w:jc w:val="both"/>
            </w:pPr>
            <w:r>
              <w:t>Слепцов Павел Викторович</w:t>
            </w:r>
            <w:r>
              <w:t xml:space="preserve">, </w:t>
            </w:r>
            <w:r>
              <w:t>8-4112-508697</w:t>
            </w:r>
            <w:r>
              <w:t xml:space="preserve">, </w:t>
            </w:r>
            <w:r>
              <w:t>slepcov.pv@goszakazyakutia</w:t>
            </w:r>
            <w:r>
              <w:t>.ru</w:t>
            </w:r>
          </w:p>
        </w:tc>
      </w:tr>
      <w:tr>
        <w:trPr>
          <w:trHeight w:hRule="atLeast" w:val="161"/>
        </w:trPr>
        <w:tc>
          <w:tcPr>
            <w:tcW w:type="dxa" w:w="433"/>
            <w:tcBorders>
              <w:top w:color="000000" w:sz="4" w:val="single"/>
              <w:left w:color="000000" w:sz="4" w:val="single"/>
              <w:bottom w:color="000000" w:sz="4" w:val="single"/>
              <w:right w:color="000000" w:sz="4" w:val="single"/>
            </w:tcBorders>
            <w:shd w:fill="auto" w:val="clear"/>
          </w:tcPr>
          <w:p w14:paraId="95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96000000">
            <w:pPr>
              <w:pStyle w:val="Style_4"/>
              <w:widowControl w:val="0"/>
              <w:tabs>
                <w:tab w:leader="none" w:pos="851" w:val="left"/>
              </w:tabs>
              <w:ind w:firstLine="0" w:left="0"/>
              <w:jc w:val="both"/>
            </w:pPr>
            <w:r>
              <w:t>Требования к участникам</w:t>
            </w:r>
            <w:r>
              <w:t xml:space="preserve"> закупки.</w:t>
            </w:r>
          </w:p>
          <w:p w14:paraId="97000000">
            <w:pPr>
              <w:pStyle w:val="Style_4"/>
              <w:widowControl w:val="0"/>
              <w:tabs>
                <w:tab w:leader="none" w:pos="851" w:val="left"/>
              </w:tabs>
              <w:ind w:firstLine="0" w:left="0"/>
              <w:jc w:val="both"/>
            </w:pPr>
          </w:p>
        </w:tc>
        <w:tc>
          <w:tcPr>
            <w:tcW w:type="dxa" w:w="5812"/>
            <w:tcBorders>
              <w:top w:color="000000" w:sz="4" w:val="single"/>
              <w:left w:color="000000" w:sz="4" w:val="single"/>
              <w:bottom w:color="000000" w:sz="4" w:val="single"/>
              <w:right w:color="000000" w:sz="4" w:val="single"/>
            </w:tcBorders>
            <w:shd w:fill="auto" w:val="clear"/>
          </w:tcPr>
          <w:p w14:paraId="98000000">
            <w:pPr>
              <w:spacing w:after="0" w:line="240" w:lineRule="auto"/>
              <w:ind/>
              <w:contextualSpacing w:val="1"/>
              <w:jc w:val="both"/>
            </w:pPr>
            <w:r>
              <w:t>Установлено</w:t>
            </w:r>
            <w:r>
              <w:t xml:space="preserve">, </w:t>
            </w:r>
            <w:r>
              <w:t>в</w:t>
            </w:r>
            <w:r>
              <w:t xml:space="preserve"> </w:t>
            </w:r>
            <w:r>
              <w:t>соответствии</w:t>
            </w:r>
            <w:r>
              <w:t xml:space="preserve"> </w:t>
            </w:r>
            <w:r>
              <w:t>с</w:t>
            </w:r>
            <w:r>
              <w:t xml:space="preserve"> </w:t>
            </w:r>
            <w:r>
              <w:t>частью</w:t>
            </w:r>
            <w:r>
              <w:t xml:space="preserve"> 1 «</w:t>
            </w:r>
            <w:r>
              <w:t>Информационная</w:t>
            </w:r>
            <w:r>
              <w:t xml:space="preserve"> </w:t>
            </w:r>
            <w:r>
              <w:t>карта</w:t>
            </w:r>
            <w:r>
              <w:t xml:space="preserve">» </w:t>
            </w:r>
            <w:r>
              <w:t>документации</w:t>
            </w:r>
            <w:r>
              <w:t>.</w:t>
            </w:r>
          </w:p>
        </w:tc>
      </w:tr>
      <w:tr>
        <w:trPr>
          <w:trHeight w:hRule="atLeast" w:val="161"/>
        </w:trPr>
        <w:tc>
          <w:tcPr>
            <w:tcW w:type="dxa" w:w="433"/>
            <w:tcBorders>
              <w:top w:color="000000" w:sz="4" w:val="single"/>
              <w:left w:color="000000" w:sz="4" w:val="single"/>
              <w:bottom w:color="000000" w:sz="4" w:val="single"/>
              <w:right w:color="000000" w:sz="4" w:val="single"/>
            </w:tcBorders>
            <w:shd w:fill="auto" w:val="clear"/>
          </w:tcPr>
          <w:p w14:paraId="99000000">
            <w:pPr>
              <w:pStyle w:val="Style_4"/>
              <w:numPr>
                <w:ilvl w:val="0"/>
                <w:numId w:val="1"/>
              </w:numPr>
              <w:ind w:firstLine="0" w:left="0"/>
              <w:jc w:val="center"/>
            </w:pPr>
            <w:bookmarkStart w:id="3" w:name="_Hlk76131227"/>
          </w:p>
        </w:tc>
        <w:tc>
          <w:tcPr>
            <w:tcW w:type="dxa" w:w="4098"/>
            <w:tcBorders>
              <w:top w:color="000000" w:sz="4" w:val="single"/>
              <w:left w:color="000000" w:sz="4" w:val="single"/>
              <w:bottom w:color="000000" w:sz="4" w:val="single"/>
              <w:right w:color="000000" w:sz="4" w:val="single"/>
            </w:tcBorders>
            <w:shd w:fill="auto" w:val="clear"/>
          </w:tcPr>
          <w:p w14:paraId="9A000000">
            <w:pPr>
              <w:spacing w:after="0" w:line="240" w:lineRule="auto"/>
              <w:ind/>
              <w:jc w:val="both"/>
              <w:rPr>
                <w:highlight w:val="yellow"/>
              </w:rPr>
            </w:pPr>
            <w:r>
              <w:t xml:space="preserve">Требование об отсутствии </w:t>
            </w:r>
            <w:r>
              <w:rPr>
                <w:color w:val="000000"/>
              </w:rPr>
              <w:t>сведений об участниках закупки в реестре недобросовестных поставщиков, предусмотренном статьей 5 Закона № 223-ФЗ, и (или) в реестре недобросовестных поставщиков (подрядчиков, исполнителей), предусмотренном Законом № 44-ФЗ</w:t>
            </w:r>
          </w:p>
        </w:tc>
        <w:tc>
          <w:tcPr>
            <w:tcW w:type="dxa" w:w="5812"/>
            <w:tcBorders>
              <w:top w:color="000000" w:sz="4" w:val="single"/>
              <w:left w:color="000000" w:sz="4" w:val="single"/>
              <w:bottom w:color="000000" w:sz="4" w:val="single"/>
              <w:right w:color="000000" w:sz="4" w:val="single"/>
            </w:tcBorders>
            <w:shd w:fill="auto" w:val="clear"/>
          </w:tcPr>
          <w:p w14:paraId="9B000000">
            <w:pPr>
              <w:spacing w:after="0" w:line="240" w:lineRule="auto"/>
              <w:ind/>
              <w:jc w:val="both"/>
            </w:pPr>
            <w:r>
              <w:t>Установлено</w:t>
            </w:r>
            <w:r>
              <w:t>.</w:t>
            </w:r>
          </w:p>
        </w:tc>
      </w:tr>
      <w:tr>
        <w:trPr>
          <w:trHeight w:hRule="atLeast" w:val="161"/>
        </w:trPr>
        <w:tc>
          <w:tcPr>
            <w:tcW w:type="dxa" w:w="433"/>
            <w:tcBorders>
              <w:top w:color="000000" w:sz="4" w:val="single"/>
              <w:left w:color="000000" w:sz="4" w:val="single"/>
              <w:bottom w:color="000000" w:sz="4" w:val="single"/>
              <w:right w:color="000000" w:sz="4" w:val="single"/>
            </w:tcBorders>
            <w:shd w:fill="auto" w:val="clear"/>
          </w:tcPr>
          <w:p w14:paraId="9C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9D000000">
            <w:pPr>
              <w:spacing w:after="0" w:line="240" w:lineRule="auto"/>
              <w:ind/>
              <w:jc w:val="both"/>
            </w:pPr>
            <w:r>
              <w:t>Требования к участникам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tc>
        <w:tc>
          <w:tcPr>
            <w:tcW w:type="dxa" w:w="5812"/>
            <w:tcBorders>
              <w:top w:color="000000" w:sz="4" w:val="single"/>
              <w:left w:color="000000" w:sz="4" w:val="single"/>
              <w:bottom w:color="000000" w:sz="4" w:val="single"/>
              <w:right w:color="000000" w:sz="4" w:val="single"/>
            </w:tcBorders>
            <w:shd w:fill="auto" w:val="clear"/>
          </w:tcPr>
          <w:p w14:paraId="9E000000">
            <w:pPr>
              <w:spacing w:after="0" w:line="240" w:lineRule="auto"/>
              <w:ind/>
              <w:jc w:val="both"/>
              <w:rPr>
                <w:highlight w:val="cyan"/>
              </w:rPr>
            </w:pPr>
            <w:r>
              <w:t>Не установлено</w:t>
            </w:r>
          </w:p>
        </w:tc>
      </w:tr>
      <w:tr>
        <w:trPr>
          <w:trHeight w:hRule="atLeast" w:val="161"/>
        </w:trPr>
        <w:tc>
          <w:tcPr>
            <w:tcW w:type="dxa" w:w="433"/>
            <w:tcBorders>
              <w:top w:color="000000" w:sz="4" w:val="single"/>
              <w:left w:color="000000" w:sz="4" w:val="single"/>
              <w:bottom w:color="000000" w:sz="4" w:val="single"/>
              <w:right w:color="000000" w:sz="4" w:val="single"/>
            </w:tcBorders>
            <w:shd w:fill="auto" w:val="clear"/>
          </w:tcPr>
          <w:p w14:paraId="9F000000">
            <w:pPr>
              <w:pStyle w:val="Style_4"/>
              <w:numPr>
                <w:ilvl w:val="0"/>
                <w:numId w:val="1"/>
              </w:numPr>
              <w:ind w:firstLine="0" w:left="0"/>
              <w:jc w:val="center"/>
            </w:pPr>
            <w:bookmarkEnd w:id="3"/>
          </w:p>
        </w:tc>
        <w:tc>
          <w:tcPr>
            <w:tcW w:type="dxa" w:w="4098"/>
            <w:tcBorders>
              <w:top w:color="000000" w:sz="4" w:val="single"/>
              <w:left w:color="000000" w:sz="4" w:val="single"/>
              <w:bottom w:color="000000" w:sz="4" w:val="single"/>
              <w:right w:color="000000" w:sz="4" w:val="single"/>
            </w:tcBorders>
            <w:shd w:fill="auto" w:val="clear"/>
          </w:tcPr>
          <w:p w14:paraId="A0000000">
            <w:pPr>
              <w:spacing w:after="0" w:line="240" w:lineRule="auto"/>
              <w:ind/>
              <w:jc w:val="both"/>
            </w:pPr>
            <w:r>
              <w:t xml:space="preserve">Описание </w:t>
            </w:r>
            <w:r>
              <w:t>предмета</w:t>
            </w:r>
            <w:r>
              <w:t xml:space="preserve"> закупки.</w:t>
            </w:r>
          </w:p>
        </w:tc>
        <w:tc>
          <w:tcPr>
            <w:tcW w:type="dxa" w:w="5812"/>
            <w:tcBorders>
              <w:top w:color="000000" w:sz="4" w:val="single"/>
              <w:left w:color="000000" w:sz="4" w:val="single"/>
              <w:bottom w:color="000000" w:sz="4" w:val="single"/>
              <w:right w:color="000000" w:sz="4" w:val="single"/>
            </w:tcBorders>
            <w:shd w:fill="auto" w:val="clear"/>
          </w:tcPr>
          <w:p w14:paraId="A1000000">
            <w:pPr>
              <w:spacing w:after="0" w:line="240" w:lineRule="auto"/>
              <w:ind/>
              <w:jc w:val="both"/>
            </w:pPr>
            <w:r>
              <w:t xml:space="preserve">В соответствии с частью </w:t>
            </w:r>
            <w:r>
              <w:t>3</w:t>
            </w:r>
            <w:r>
              <w:t xml:space="preserve"> документации.</w:t>
            </w:r>
          </w:p>
        </w:tc>
      </w:tr>
      <w:tr>
        <w:trPr>
          <w:trHeight w:hRule="atLeast" w:val="161"/>
        </w:trPr>
        <w:tc>
          <w:tcPr>
            <w:tcW w:type="dxa" w:w="433"/>
            <w:tcBorders>
              <w:top w:color="000000" w:sz="4" w:val="single"/>
              <w:left w:color="000000" w:sz="4" w:val="single"/>
              <w:bottom w:color="000000" w:sz="4" w:val="single"/>
              <w:right w:color="000000" w:sz="4" w:val="single"/>
            </w:tcBorders>
            <w:shd w:fill="auto" w:val="clear"/>
          </w:tcPr>
          <w:p w14:paraId="A2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A3000000">
            <w:pPr>
              <w:spacing w:after="0" w:line="240" w:lineRule="auto"/>
              <w:ind/>
              <w:jc w:val="both"/>
            </w:pPr>
            <w:r>
              <w:t>Информация о количестве товара, объеме работ и услуг.</w:t>
            </w:r>
          </w:p>
        </w:tc>
        <w:tc>
          <w:tcPr>
            <w:tcW w:type="dxa" w:w="5812"/>
            <w:tcBorders>
              <w:top w:color="000000" w:sz="4" w:val="single"/>
              <w:left w:color="000000" w:sz="4" w:val="single"/>
              <w:bottom w:color="000000" w:sz="4" w:val="single"/>
              <w:right w:color="000000" w:sz="4" w:val="single"/>
            </w:tcBorders>
            <w:shd w:fill="auto" w:val="clear"/>
          </w:tcPr>
          <w:p w14:paraId="A4000000">
            <w:pPr>
              <w:spacing w:after="0" w:line="240" w:lineRule="auto"/>
              <w:ind/>
              <w:jc w:val="both"/>
            </w:pPr>
            <w:r>
              <w:t xml:space="preserve">В соответствии с частью </w:t>
            </w:r>
            <w:r>
              <w:t>3</w:t>
            </w:r>
            <w:r>
              <w:t xml:space="preserve"> документации.</w:t>
            </w:r>
          </w:p>
        </w:tc>
      </w:tr>
      <w:tr>
        <w:trPr>
          <w:trHeight w:hRule="atLeast" w:val="161"/>
        </w:trPr>
        <w:tc>
          <w:tcPr>
            <w:tcW w:type="dxa" w:w="433"/>
            <w:tcBorders>
              <w:top w:color="000000" w:sz="4" w:val="single"/>
              <w:left w:color="000000" w:sz="4" w:val="single"/>
              <w:bottom w:color="000000" w:sz="4" w:val="single"/>
              <w:right w:color="000000" w:sz="4" w:val="single"/>
            </w:tcBorders>
            <w:shd w:fill="auto" w:val="clear"/>
          </w:tcPr>
          <w:p w14:paraId="A5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A6000000">
            <w:pPr>
              <w:spacing w:after="0" w:line="240" w:lineRule="auto"/>
              <w:ind/>
              <w:jc w:val="both"/>
            </w:pPr>
            <w:r>
              <w:t xml:space="preserve">Обоснование </w:t>
            </w:r>
            <w:r>
              <w:t>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r>
              <w:t>.</w:t>
            </w:r>
          </w:p>
        </w:tc>
        <w:tc>
          <w:tcPr>
            <w:tcW w:type="dxa" w:w="5812"/>
            <w:tcBorders>
              <w:top w:color="000000" w:sz="4" w:val="single"/>
              <w:left w:color="000000" w:sz="4" w:val="single"/>
              <w:bottom w:color="000000" w:sz="4" w:val="single"/>
              <w:right w:color="000000" w:sz="4" w:val="single"/>
            </w:tcBorders>
            <w:shd w:fill="auto" w:val="clear"/>
          </w:tcPr>
          <w:p w14:paraId="A7000000">
            <w:pPr>
              <w:spacing w:after="0" w:line="240" w:lineRule="auto"/>
              <w:ind/>
              <w:jc w:val="both"/>
            </w:pPr>
            <w:r>
              <w:t>В соответствии с частью 4</w:t>
            </w:r>
            <w:r>
              <w:t xml:space="preserve"> документации.</w:t>
            </w:r>
          </w:p>
        </w:tc>
      </w:tr>
      <w:tr>
        <w:trPr>
          <w:trHeight w:hRule="atLeast" w:val="161"/>
        </w:trPr>
        <w:tc>
          <w:tcPr>
            <w:tcW w:type="dxa" w:w="433"/>
            <w:tcBorders>
              <w:top w:color="000000" w:sz="4" w:val="single"/>
              <w:left w:color="000000" w:sz="4" w:val="single"/>
              <w:bottom w:color="000000" w:sz="4" w:val="single"/>
              <w:right w:color="000000" w:sz="4" w:val="single"/>
            </w:tcBorders>
            <w:shd w:fill="auto" w:val="clear"/>
          </w:tcPr>
          <w:p w14:paraId="A8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A9000000">
            <w:pPr>
              <w:spacing w:after="0" w:line="240" w:lineRule="auto"/>
              <w:ind/>
              <w:jc w:val="both"/>
            </w:pPr>
            <w:r>
              <w:t xml:space="preserve">Порядок внесения денежных средств в качестве обеспечения заявок на участие в </w:t>
            </w:r>
            <w:r>
              <w:t>конкурентной закупке</w:t>
            </w:r>
            <w:r>
              <w:t xml:space="preserve"> (в случае установления такого требования в пункте </w:t>
            </w:r>
            <w:r>
              <w:t>2</w:t>
            </w:r>
            <w:r>
              <w:t>5</w:t>
            </w:r>
            <w:r>
              <w:t xml:space="preserve"> </w:t>
            </w:r>
            <w:r>
              <w:t>Извещения</w:t>
            </w:r>
            <w:r>
              <w:t>)</w:t>
            </w:r>
          </w:p>
        </w:tc>
        <w:tc>
          <w:tcPr>
            <w:tcW w:type="dxa" w:w="5812"/>
            <w:tcBorders>
              <w:top w:color="000000" w:sz="4" w:val="single"/>
              <w:left w:color="000000" w:sz="4" w:val="single"/>
              <w:bottom w:color="000000" w:sz="4" w:val="single"/>
              <w:right w:color="000000" w:sz="4" w:val="single"/>
            </w:tcBorders>
            <w:shd w:fill="auto" w:val="clear"/>
          </w:tcPr>
          <w:p w14:paraId="AA000000">
            <w:pPr>
              <w:spacing w:after="0" w:line="240" w:lineRule="auto"/>
              <w:ind/>
              <w:jc w:val="both"/>
            </w:pPr>
            <w:r>
              <w:t>Обеспечение заявки на участие в конкурентной закупке может предоставляться участником закупки путем внесения денежных средств, предоставления банковской гарантии или иным способом, предусмотренным Гражданским кодексом Российской Федерации. Выбор способа обеспечения заявки на участие в конкурентной закупке из числа предусмотренных заказчиком в извещении об осуществлении конкурентной закупки, документации о конкурентной закупке осуществляется участником закупки.</w:t>
            </w:r>
          </w:p>
          <w:p w14:paraId="AB000000">
            <w:pPr>
              <w:spacing w:after="0" w:line="240" w:lineRule="auto"/>
              <w:ind/>
              <w:jc w:val="both"/>
            </w:pPr>
            <w:r>
              <w:t>В случае осуществления конкурентной закупки в соответствии с разделом 15 Положения о закупке, обеспечение заявки на участие в закупке может предоставляться участником закупки путем внесения денежных средств либо путем предоставления независимой гарантии по его выбору.</w:t>
            </w:r>
          </w:p>
          <w:p w14:paraId="AC000000">
            <w:pPr>
              <w:spacing w:after="0" w:line="240" w:lineRule="auto"/>
              <w:ind/>
              <w:jc w:val="both"/>
            </w:pPr>
            <w:r>
              <w:t xml:space="preserve"> Денежные средства, предназначенные для обеспечения заявки на участие в такой закупке, вносятся на специальный счет, открытый участником такой закупки в банке, включенном в перечень, определенный Правительством Российской Федерации в соответствии с Законом № 44-ФЗ (далее – специальный банковский счет).</w:t>
            </w:r>
          </w:p>
          <w:p w14:paraId="AD000000">
            <w:pPr>
              <w:spacing w:after="0" w:line="240" w:lineRule="auto"/>
              <w:ind/>
              <w:jc w:val="both"/>
            </w:pPr>
            <w:r>
              <w:t>Независимая гарантия, предоставляемая в качестве обеспечения заявки на участие в конкурентной закупке, осуществляемой в соответствии с разделом 15 Положения о закупке заказчика, должна соответствовать следующим требованиям:</w:t>
            </w:r>
          </w:p>
          <w:p w14:paraId="AE000000">
            <w:pPr>
              <w:spacing w:after="0" w:line="240" w:lineRule="auto"/>
              <w:ind/>
              <w:jc w:val="both"/>
            </w:pPr>
            <w:r>
              <w:t>1) независимая гарантия должна быть выдана гарантом, предусмотренным частью 1 статьи 45 Закона № 44-ФЗ;</w:t>
            </w:r>
          </w:p>
          <w:p w14:paraId="AF000000">
            <w:pPr>
              <w:spacing w:after="0" w:line="240" w:lineRule="auto"/>
              <w:ind/>
              <w:jc w:val="both"/>
            </w:pPr>
            <w:r>
              <w:t>2) информация о независимой гарантии должна быть включена в реестр независимых гарантий, предусмотренный частью 8 статьи 45 Закона № 44-ФЗ;</w:t>
            </w:r>
          </w:p>
          <w:p w14:paraId="B0000000">
            <w:pPr>
              <w:spacing w:after="0" w:line="240" w:lineRule="auto"/>
              <w:ind/>
              <w:jc w:val="both"/>
            </w:pPr>
            <w:r>
              <w:t>3) независимая гарантия не может быть отозвана выдавшим ее гарантом;</w:t>
            </w:r>
          </w:p>
          <w:p w14:paraId="B1000000">
            <w:pPr>
              <w:spacing w:after="0" w:line="240" w:lineRule="auto"/>
              <w:ind/>
              <w:jc w:val="both"/>
            </w:pPr>
            <w:r>
              <w:t>4) независимая гарантия должна содержать:</w:t>
            </w:r>
          </w:p>
          <w:p w14:paraId="B2000000">
            <w:pPr>
              <w:spacing w:after="0" w:line="240" w:lineRule="auto"/>
              <w:ind/>
              <w:jc w:val="both"/>
            </w:pPr>
            <w:r>
              <w:t xml:space="preserve">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w:t>
            </w:r>
            <w:r>
              <w:t>Федерации оснований для отказа в удовлетворении этого требования;</w:t>
            </w:r>
          </w:p>
          <w:p w14:paraId="B3000000">
            <w:pPr>
              <w:spacing w:after="0" w:line="240" w:lineRule="auto"/>
              <w:ind/>
              <w:jc w:val="both"/>
            </w:pPr>
            <w: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статьи 3.4 Закона № 223-ФЗ;</w:t>
            </w:r>
          </w:p>
          <w:p w14:paraId="B4000000">
            <w:pPr>
              <w:spacing w:after="0" w:line="240" w:lineRule="auto"/>
              <w:ind/>
              <w:jc w:val="both"/>
            </w:pPr>
            <w:r>
              <w:t>в) указание на срок действия независимой гарантии, который не может составлять менее одного месяца с даты окончания срока подачи заявок на участие в такой закупке.</w:t>
            </w:r>
          </w:p>
          <w:p w14:paraId="B5000000">
            <w:pPr>
              <w:spacing w:after="0" w:line="240" w:lineRule="auto"/>
              <w:ind/>
              <w:jc w:val="both"/>
            </w:pPr>
            <w:r>
              <w:t>Несоответствие независимой гарантии, предоставленной участником конкурентной закупки, осуществляемой в соответствии с разделом 15 Положения о закупке заказчика, требованиям, предусмотренным данным пунктом, является основанием для отказа в принятии ее заказчиком.</w:t>
            </w:r>
          </w:p>
          <w:p w14:paraId="B6000000">
            <w:pPr>
              <w:spacing w:after="0" w:line="240" w:lineRule="auto"/>
              <w:ind/>
              <w:jc w:val="both"/>
            </w:pPr>
            <w:r>
              <w:t>В течение одного часа с момента окончания срока подачи заявок на участие в конкурентной закупке, осуществляемой в соответствии с разделом 15 Положения о закупке, оператор электронной площадки направляет в банк информацию об участнике закупки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банковском счете участника закупки незаблокированных денежных средств в размере обеспечения указанной заявки и информирует оператора. Блокирование денежных средств не осуществляется в случае отсутствия на специальном банковском счете участника такой закупки денежных средств в размере для обеспечения указанной заявки либо в случае приостановления операций по такому счету в соответствии с законодательством Российской Федерации, о чем оператор электронной площадки информируется в течение одного часа. В случае, если блокирование денежных средств не может быть осуществлено по основаниям, предусмотренным настоящим пунктом, оператор электронной площадки обязан вернуть указанную заявку подавшему ее участнику в течение одного часа с момента получения соответствующей информации от банка.</w:t>
            </w:r>
          </w:p>
          <w:p w14:paraId="B7000000">
            <w:pPr>
              <w:spacing w:after="0" w:line="240" w:lineRule="auto"/>
              <w:ind/>
              <w:jc w:val="both"/>
            </w:pPr>
            <w:r>
              <w:t>Участник конкурентной закупки, осуществляемой в соответствии с разделом 15 Положения о закупке заказчика, вправе распоряжаться денежными средствами, которые находятся на специальном банковском счете и в отношении которых не осуществлено блокирование в соответствии с данным пунктом.</w:t>
            </w:r>
          </w:p>
          <w:p w14:paraId="B8000000">
            <w:pPr>
              <w:spacing w:after="0" w:line="240" w:lineRule="auto"/>
              <w:ind/>
              <w:jc w:val="both"/>
            </w:pPr>
            <w:r>
              <w:t>В случаях, предусмотренных частью 26 статьи 3.2 Закона № 223-ФЗ, денежные средства, внесенные на специальный банковский счет в качестве обеспечения заявки на участие в конкурентной закупке, осуществляемой в соответствии с разделом 15 Положения о закупке, перечисляются банком на счет заказчика, указанный в извещении об осуществлении такой конкурентной закупки, в документации о такой закупке, или заказчиком предъявляется требование об уплате денежной суммы по независимой гарантии, предоставленной в качестве обеспечения заявки на участие в такой конкурентной закупке.</w:t>
            </w:r>
          </w:p>
          <w:p w14:paraId="B9000000">
            <w:pPr>
              <w:spacing w:after="0" w:line="240" w:lineRule="auto"/>
              <w:ind/>
              <w:jc w:val="both"/>
            </w:pPr>
            <w:r>
              <w:t>В случае установления требования к обеспечению заявок при проведении конкурентной закупки, осуществляемой закрытым способом, за исключением закупок в электронной форме, заказчик в документации о конкурентной закупке для внесения денежных средств указывает свой счет.</w:t>
            </w:r>
          </w:p>
          <w:p w14:paraId="BA000000">
            <w:pPr>
              <w:spacing w:after="0" w:line="240" w:lineRule="auto"/>
              <w:ind/>
              <w:jc w:val="both"/>
            </w:pPr>
            <w:r>
              <w:t>Обеспечение заявки на участие в конкурентной закупке в электронной форме, а также возврат денежных средств, внесенных участником закупки в качестве такого обеспечения, осуществляется в порядке, установленном регламентом ЭП и соглашением, заключенным между заказчиком и оператором электронной площадки, а в случае осуществления конкурентной закупки, предусмотренной разделом 15 Положения о закупке заказчика, в соответствии с едиными требованиями, предусмотренными Законом № 44-ФЗ.</w:t>
            </w:r>
          </w:p>
          <w:p w14:paraId="BB000000">
            <w:pPr>
              <w:spacing w:after="0" w:line="240" w:lineRule="auto"/>
              <w:ind/>
              <w:jc w:val="both"/>
            </w:pPr>
            <w:r>
              <w:t>В случае, если извещением об осуществлении конкурентной закупки, документацией о конкурентной закупке установлена возможность обеспечения заявки на участие в закупке и (или) обеспечения исполнения договора и (или) обеспечения гарантийных обязательств путем предоставления банковской гарантии, заказчики в качестве обеспечения заявок и (или) обеспечения исполнения договора и (или) обеспечения гарантийных обязательств принимают банковские гарантии, выданные банками, включенными в перечень банков, предусмотренный частью 1.2 статьи 45 Закона № 44-ФЗ, и соответствующие требованиям настоящего пункта .</w:t>
            </w:r>
          </w:p>
          <w:p w14:paraId="BC000000">
            <w:pPr>
              <w:spacing w:after="0" w:line="240" w:lineRule="auto"/>
              <w:ind/>
              <w:jc w:val="both"/>
            </w:pPr>
            <w:r>
              <w:t>Банковская гарантия должна быть безотзывной и должна содержать:</w:t>
            </w:r>
          </w:p>
          <w:p w14:paraId="BD000000">
            <w:pPr>
              <w:spacing w:after="0" w:line="240" w:lineRule="auto"/>
              <w:ind/>
              <w:jc w:val="both"/>
            </w:pPr>
            <w:r>
              <w:t>1) сумму банковской гарантии, подлежащую уплате гарантом заказчику в установленных пунктом 9.20 раздела 9 Положения о закупке заказчика случаях или сумму банковской гарантии, подлежащую уплате гарантом заказчику в случае ненадлежащего исполнения обязательств принципалом;</w:t>
            </w:r>
          </w:p>
          <w:p w14:paraId="BE000000">
            <w:pPr>
              <w:spacing w:after="0" w:line="240" w:lineRule="auto"/>
              <w:ind/>
              <w:jc w:val="both"/>
            </w:pPr>
            <w:r>
              <w:t>2) перечень обязательств принципала, надлежащее исполнение которых обеспечивается банковской гарантией;</w:t>
            </w:r>
          </w:p>
          <w:p w14:paraId="BF000000">
            <w:pPr>
              <w:spacing w:after="0" w:line="240" w:lineRule="auto"/>
              <w:ind/>
              <w:jc w:val="both"/>
            </w:pPr>
            <w:r>
              <w:t>3) указание на обязанность гаранта в случае просрочки исполнения обязательств по банковской гарантии, требование об уплате денежной суммы по которой соответствует условиям такой банковской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банковской гарантии;</w:t>
            </w:r>
          </w:p>
          <w:p w14:paraId="C0000000">
            <w:pPr>
              <w:spacing w:after="0" w:line="240" w:lineRule="auto"/>
              <w:ind/>
              <w:jc w:val="both"/>
            </w:pPr>
            <w:r>
              <w:t>4) условие, согласно которому исполнением обязательств гаранта по банковской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C1000000">
            <w:pPr>
              <w:spacing w:after="0" w:line="240" w:lineRule="auto"/>
              <w:ind/>
              <w:jc w:val="both"/>
            </w:pPr>
            <w:r>
              <w:t>5) условие о сроке действия банковской гарантии (срок действия банковской гарантии, предоставленной в качестве обеспечения заявки, должен составлять не менее чем два месяца с даты окончания срока подачи заявок, срок действия банковской гарантии, предоставленной в качестве обеспечения исполнения договора, обеспечения гарантийных обязательств должен превышать предусмотренный договором срок исполнения обязательств, которые должны быть обеспечены такой банковской гарантией, не менее чем на один месяц, в том числе в случае его изменения в соответствии с Положением о закупке заказчика);</w:t>
            </w:r>
          </w:p>
          <w:p w14:paraId="C2000000">
            <w:pPr>
              <w:spacing w:after="0" w:line="240" w:lineRule="auto"/>
              <w:ind/>
              <w:jc w:val="both"/>
            </w:pPr>
            <w:r>
              <w:t>6) отлагательное условие о том, что договор предоставления банковской гарантии заключается по обязательствам принципала, которые возникнут из договора при его заключении, в случае предоставления банковской гарантии в качестве обеспечения исполнения договора;</w:t>
            </w:r>
          </w:p>
          <w:p w14:paraId="C3000000">
            <w:pPr>
              <w:spacing w:after="0" w:line="240" w:lineRule="auto"/>
              <w:ind/>
              <w:jc w:val="both"/>
            </w:pPr>
            <w:r>
              <w:t>7) условие о праве заказчика в случае ненадлежащего выполнения или невыполнения поставщиком (подрядчиком, исполнителем) обязательств, обеспеченных банковской гарантией, представлять на бумажном носителе или в форме электронного документа требование об уплате денежной суммы по банковской гарантии, предоставленной в качестве обеспечения исполнения договора, в размере цены договора, уменьшенном на сумму, пропорциональную объему фактически исполненных поставщиком (подрядчиком, исполнителем) обязательств, предусмотренных договором и оплаченных заказчиком, но не превышающем размер обеспечения исполнения договора;</w:t>
            </w:r>
          </w:p>
          <w:p w14:paraId="C4000000">
            <w:pPr>
              <w:spacing w:after="0" w:line="240" w:lineRule="auto"/>
              <w:ind/>
              <w:jc w:val="both"/>
            </w:pPr>
            <w:r>
              <w:t xml:space="preserve">8) условие о праве заказчика в случае уклонения или отказа участника закупки заключить договор, </w:t>
            </w:r>
            <w:r>
              <w:t>представлять на бумажном носителе или в форме электронного документа требование об уплате денежной суммы по банковской гарантии, предоставленной в качестве обеспечения заявки, в размере обеспечения заявки, установленном в извещении об осуществлении конкурентной закупки, документации о конкурентной закупке (при наличии);</w:t>
            </w:r>
          </w:p>
          <w:p w14:paraId="C5000000">
            <w:pPr>
              <w:spacing w:after="0" w:line="240" w:lineRule="auto"/>
              <w:ind/>
              <w:jc w:val="both"/>
            </w:pPr>
            <w:r>
              <w:t>9) условие о праве заказчика в случае ненадлежащего выполнения или невыполнения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обеспеченных банковской гарантией, представлять на бумажном носителе или в форме электронного документа требование об уплате денежной суммы по банковской гарантии, предоставленной в качестве обеспечения исполнения гарантийных обязательств, в порядке и размере, установленными в договоре в соответствии с Положением о закупке заказчика;</w:t>
            </w:r>
          </w:p>
          <w:p w14:paraId="C6000000">
            <w:pPr>
              <w:spacing w:after="0" w:line="240" w:lineRule="auto"/>
              <w:ind/>
              <w:jc w:val="both"/>
            </w:pPr>
            <w:r>
              <w:t>10) условие о праве заказчика по передаче права требования по банковской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14:paraId="C7000000">
            <w:pPr>
              <w:spacing w:after="0" w:line="240" w:lineRule="auto"/>
              <w:ind/>
              <w:jc w:val="both"/>
            </w:pPr>
            <w:r>
              <w:t>11) условие о том, что расходы, возникающие в связи с перечислением денежных средств гарантом по банковской гарантии, несет гарант;</w:t>
            </w:r>
          </w:p>
          <w:p w14:paraId="C8000000">
            <w:pPr>
              <w:spacing w:after="0" w:line="240" w:lineRule="auto"/>
              <w:ind/>
              <w:jc w:val="both"/>
            </w:pPr>
            <w:r>
              <w:t>12) перечень документов, которые заказчик должен предоставить банку вместе с требованием уплатить денежные средства по банковской гарантии:</w:t>
            </w:r>
          </w:p>
          <w:p w14:paraId="C9000000">
            <w:pPr>
              <w:spacing w:after="0" w:line="240" w:lineRule="auto"/>
              <w:ind/>
              <w:jc w:val="both"/>
            </w:pPr>
            <w:r>
              <w:t>а) расчет суммы, включаемой в требование по банковской гарантии;</w:t>
            </w:r>
          </w:p>
          <w:p w14:paraId="CA000000">
            <w:pPr>
              <w:spacing w:after="0" w:line="240" w:lineRule="auto"/>
              <w:ind/>
              <w:jc w:val="both"/>
            </w:pPr>
            <w:r>
              <w:t>б) распоряжение, подтверждающее перечисление заказчиком аванса принципалу, с отметкой банка заказчика или федерального органа исполнительной власти, осуществляющего правоприменительные функции по казначейскому обслуживанию исполнения бюджетов бюджетной системы Российской Федерации (если выплата аванса предусмотрена договором, а требование по банковской гарантии предъявлено в случае ненадлежащего исполнения принципалом обязательств по возврату аванса);</w:t>
            </w:r>
          </w:p>
          <w:p w14:paraId="CB000000">
            <w:pPr>
              <w:spacing w:after="0" w:line="240" w:lineRule="auto"/>
              <w:ind/>
              <w:jc w:val="both"/>
            </w:pPr>
            <w:r>
              <w:t>в) документ, подтверждающий полномочия лица, подписавшего требование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заказчика);</w:t>
            </w:r>
          </w:p>
          <w:p w14:paraId="CC000000">
            <w:pPr>
              <w:spacing w:after="0" w:line="240" w:lineRule="auto"/>
              <w:ind/>
              <w:jc w:val="both"/>
            </w:pPr>
            <w:r>
              <w:t>13) 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14:paraId="CD000000">
            <w:pPr>
              <w:spacing w:after="0" w:line="240" w:lineRule="auto"/>
              <w:ind/>
              <w:jc w:val="both"/>
            </w:pPr>
            <w:r>
              <w:t>В случае, предусмотренном извещением об осуществлении конкурентной закупки, документацией о конкурентной закупке, проектом договора, заключаемого с единственным поставщиком (подрядчиком, исполнителем), в банковскую гарантию включается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14:paraId="CE000000">
            <w:pPr>
              <w:spacing w:after="0" w:line="240" w:lineRule="auto"/>
              <w:ind/>
              <w:jc w:val="both"/>
            </w:pPr>
            <w:r>
              <w:t>Недопустимо включение в банковскую гарантию:</w:t>
            </w:r>
          </w:p>
          <w:p w14:paraId="CF000000">
            <w:pPr>
              <w:spacing w:after="0" w:line="240" w:lineRule="auto"/>
              <w:ind/>
              <w:jc w:val="both"/>
            </w:pPr>
            <w:r>
              <w:t>1) положений о праве гаранта отказывать в удовлетворении требования заказчика о платеже по банковской гарантии в случае непредоставления гаранту заказчиком уведомления о нарушении поставщиком (подрядчиком, исполнителем) условий договора или расторжении договора (за исключением случаев, когда направление такого уведомления предусмотрено условиями договора или законодательством Российской Федерации);</w:t>
            </w:r>
          </w:p>
          <w:p w14:paraId="D0000000">
            <w:pPr>
              <w:spacing w:after="0" w:line="240" w:lineRule="auto"/>
              <w:ind/>
              <w:jc w:val="both"/>
            </w:pPr>
            <w:r>
              <w:t>2) требований о предоставлении заказчиком гаранту отчета об исполнении договора;</w:t>
            </w:r>
          </w:p>
          <w:p w14:paraId="D1000000">
            <w:pPr>
              <w:spacing w:after="0" w:line="240" w:lineRule="auto"/>
              <w:ind/>
              <w:jc w:val="both"/>
            </w:pPr>
            <w:r>
              <w:t xml:space="preserve">3) требований о предоставлении заказчиком гаранту одновременно с требованием об осуществлении уплаты денежной суммы по банковской гарантии документов, не включенных в перечень документов, установленный подпунктом 12 пункта 9.14 раздела 9 Положения о закупке заказчика. </w:t>
            </w:r>
          </w:p>
          <w:p w14:paraId="D2000000">
            <w:pPr>
              <w:spacing w:after="0" w:line="240" w:lineRule="auto"/>
              <w:ind/>
              <w:jc w:val="both"/>
            </w:pPr>
            <w:r>
              <w:t xml:space="preserve">В случае, если участником закупки в составе заявки представлены документы, подтверждающие внесение денежных средств в качестве обеспечения заявки на участие в закупке, и до даты рассмотрения заявок денежные средства не поступили на счет, который указан заказчиком в извещении и (или) документации о конкурентной закупке, такой участник признается не предоставившим обеспечение заявки. </w:t>
            </w:r>
          </w:p>
          <w:p w14:paraId="D3000000">
            <w:pPr>
              <w:spacing w:after="0" w:line="240" w:lineRule="auto"/>
              <w:ind/>
              <w:jc w:val="both"/>
            </w:pPr>
            <w:r>
              <w:t>Денежные средства, внесенные на счет, указанный в извещении и (или) документации о конкурентной закупке в качестве обеспечения заявки на участие в конкурентной закупке, возвращаются на счет участника закупки в течение не более чем семи рабочих дней с даты наступления одного из следующих случаев:</w:t>
            </w:r>
          </w:p>
          <w:p w14:paraId="D4000000">
            <w:pPr>
              <w:spacing w:after="0" w:line="240" w:lineRule="auto"/>
              <w:ind/>
              <w:jc w:val="both"/>
            </w:pPr>
            <w:r>
              <w:t xml:space="preserve">1) подписание протокола подведения итогов конкурентной закупки. При этом возврат осуществляется в отношении денежных средств всех </w:t>
            </w:r>
            <w:r>
              <w:t>участников закупки, за исключением победителя закупки, которому такие денежные средства возвращаются после заключения договора;</w:t>
            </w:r>
          </w:p>
          <w:p w14:paraId="D5000000">
            <w:pPr>
              <w:spacing w:after="0" w:line="240" w:lineRule="auto"/>
              <w:ind/>
              <w:jc w:val="both"/>
            </w:pPr>
            <w:r>
              <w:t>2) отмена закупки;</w:t>
            </w:r>
          </w:p>
          <w:p w14:paraId="D6000000">
            <w:pPr>
              <w:spacing w:after="0" w:line="240" w:lineRule="auto"/>
              <w:ind/>
              <w:jc w:val="both"/>
            </w:pPr>
            <w:r>
              <w:t>3) отклонение заявки участника закупки;</w:t>
            </w:r>
          </w:p>
          <w:p w14:paraId="D7000000">
            <w:pPr>
              <w:spacing w:after="0" w:line="240" w:lineRule="auto"/>
              <w:ind/>
              <w:jc w:val="both"/>
            </w:pPr>
            <w:r>
              <w:t>4) отзыв заявки участником закупки до окончания срока подачи заявок;</w:t>
            </w:r>
          </w:p>
          <w:p w14:paraId="D8000000">
            <w:pPr>
              <w:spacing w:after="0" w:line="240" w:lineRule="auto"/>
              <w:ind/>
              <w:jc w:val="both"/>
            </w:pPr>
            <w:r>
              <w:t>5) получение заявки на участие в закупке после окончания срока подачи заявок;</w:t>
            </w:r>
          </w:p>
          <w:p w14:paraId="D9000000">
            <w:pPr>
              <w:spacing w:after="0" w:line="240" w:lineRule="auto"/>
              <w:ind/>
              <w:jc w:val="both"/>
            </w:pPr>
            <w:r>
              <w:t>6) отстранение участника закупки от участия в закупке или отказ от заключения договора с победителем закупки.</w:t>
            </w:r>
          </w:p>
          <w:p w14:paraId="DA000000">
            <w:pPr>
              <w:spacing w:after="0" w:line="240" w:lineRule="auto"/>
              <w:ind/>
              <w:jc w:val="both"/>
            </w:pPr>
            <w:r>
              <w:t>Возврат банковской гарантии, предоставленной для обеспечения заявки на участие в конкурентной закупке, в случаях, предусмотренных подпунктами 1-6 пункта 9.18 раздела 9 Положения о закупке заказчиком гаранту, предоставившим банковскую гарантию, не осуществляется, взыскание по ней не производится.</w:t>
            </w:r>
          </w:p>
          <w:p w14:paraId="DB000000">
            <w:pPr>
              <w:spacing w:after="0" w:line="240" w:lineRule="auto"/>
              <w:ind/>
              <w:jc w:val="both"/>
            </w:pPr>
            <w:r>
              <w:t>Возврат денежных средств, внесенных в качестве обеспечения заявок, не осуществляется, либо предъявляется требование об уплате денежных сумм по банковской гарантии, а в случае проведения закупок в электронной форме денежные средства, внесенные в качестве обеспечения заявок, перечисляются на счет, который указан заказчиком, в следующих случаях:</w:t>
            </w:r>
          </w:p>
          <w:p w14:paraId="DC000000">
            <w:pPr>
              <w:spacing w:after="0" w:line="240" w:lineRule="auto"/>
              <w:ind/>
              <w:jc w:val="both"/>
            </w:pPr>
            <w:r>
              <w:t>1) уклонение или отказ участника закупки от заключения договора;</w:t>
            </w:r>
          </w:p>
          <w:p w14:paraId="DD000000">
            <w:pPr>
              <w:spacing w:after="0" w:line="240" w:lineRule="auto"/>
              <w:ind/>
              <w:jc w:val="both"/>
            </w:pPr>
            <w:r>
              <w:t>2) непредоставление или предоставление с нарушением условий, установленных Положением о закупке, Законом № 223-ФЗ, до заключения договора заказчику обеспечения исполнения договора (в случае, если в извещении об осуществлении закупки, документации о закупке (при наличии) установлены требования обеспечения исполнения договора и срок его предоставления до заключения договора).</w:t>
            </w:r>
          </w:p>
          <w:p w14:paraId="DE000000">
            <w:pPr>
              <w:spacing w:after="0" w:line="240" w:lineRule="auto"/>
              <w:ind/>
              <w:jc w:val="both"/>
            </w:pPr>
            <w:r>
              <w:t>Требование об обеспечении заявки на участие в определении поставщика (подрядчика, исполнителя) в равной мере относится ко всем участникам закупки, за исключением государственных, муниципальных учреждений, которые не предоставляют обеспечение подаваемых ими заявок на участие в определении поставщиков (подрядчиков, исполнителей).</w:t>
            </w:r>
          </w:p>
        </w:tc>
      </w:tr>
      <w:tr>
        <w:trPr>
          <w:trHeight w:hRule="atLeast" w:val="161"/>
        </w:trPr>
        <w:tc>
          <w:tcPr>
            <w:tcW w:type="dxa" w:w="433"/>
            <w:tcBorders>
              <w:top w:color="000000" w:sz="4" w:val="single"/>
              <w:left w:color="000000" w:sz="4" w:val="single"/>
              <w:bottom w:color="000000" w:sz="4" w:val="single"/>
              <w:right w:color="000000" w:sz="4" w:val="single"/>
            </w:tcBorders>
            <w:shd w:fill="auto" w:val="clear"/>
          </w:tcPr>
          <w:p w14:paraId="DF000000">
            <w:pPr>
              <w:pStyle w:val="Style_4"/>
              <w:numPr>
                <w:ilvl w:val="0"/>
                <w:numId w:val="1"/>
              </w:numPr>
              <w:ind w:firstLine="0" w:left="0"/>
              <w:jc w:val="center"/>
            </w:pPr>
          </w:p>
        </w:tc>
        <w:tc>
          <w:tcPr>
            <w:tcW w:type="dxa" w:w="4098"/>
            <w:tcBorders>
              <w:top w:color="000000" w:sz="4" w:val="single"/>
              <w:left w:color="000000" w:sz="4" w:val="single"/>
              <w:bottom w:color="000000" w:sz="4" w:val="single"/>
              <w:right w:color="000000" w:sz="4" w:val="single"/>
            </w:tcBorders>
            <w:shd w:fill="auto" w:val="clear"/>
          </w:tcPr>
          <w:p w14:paraId="E0000000">
            <w:pPr>
              <w:spacing w:after="0" w:line="240" w:lineRule="auto"/>
              <w:ind/>
              <w:jc w:val="both"/>
            </w:pPr>
            <w:r>
              <w:t xml:space="preserve">Порядок предоставления обеспечения исполнения договора, гарантийных обязательств (в случае установления такого требования в пункте </w:t>
            </w:r>
            <w:r>
              <w:t>26 Извещения)</w:t>
            </w:r>
          </w:p>
        </w:tc>
        <w:tc>
          <w:tcPr>
            <w:tcW w:type="dxa" w:w="5812"/>
            <w:tcBorders>
              <w:top w:color="000000" w:sz="4" w:val="single"/>
              <w:left w:color="000000" w:sz="4" w:val="single"/>
              <w:bottom w:color="000000" w:sz="4" w:val="single"/>
              <w:right w:color="000000" w:sz="4" w:val="single"/>
            </w:tcBorders>
            <w:shd w:fill="auto" w:val="clear"/>
          </w:tcPr>
          <w:p w14:paraId="E1000000">
            <w:pPr>
              <w:spacing w:after="0" w:line="240" w:lineRule="auto"/>
              <w:ind/>
              <w:jc w:val="both"/>
            </w:pPr>
            <w:r>
              <w:t xml:space="preserve">Исполнение договора, гарантийные обязательства могут обеспечиваться предоставлением банковской гарантии, соответствующей требованиям раздела 9 Положения о закупке заказчика,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или иным </w:t>
            </w:r>
            <w:r>
              <w:t xml:space="preserve">способом, предусмотренным извещением и (или) документацией о закупке (при наличии). </w:t>
            </w:r>
          </w:p>
          <w:p w14:paraId="E2000000">
            <w:pPr>
              <w:spacing w:after="0" w:line="240" w:lineRule="auto"/>
              <w:ind/>
              <w:jc w:val="both"/>
            </w:pPr>
            <w:r>
              <w:t>Способ обеспечения исполнения договора, гарантийных обязательств, срок действия банковской гарантии определяются в соответствии с требованиями настоящего Положения участником закупки, с которым заключается договор, самостоятельно.</w:t>
            </w:r>
          </w:p>
          <w:p w14:paraId="E3000000">
            <w:pPr>
              <w:spacing w:after="0" w:line="240" w:lineRule="auto"/>
              <w:ind/>
              <w:jc w:val="both"/>
            </w:pPr>
            <w:r>
              <w:t>Если в извещении об осуществлении конкурентной закупки, документации о конкурентной закупке, осуществляемой в соответствии с разделом 15 Положения о закупке, установлено требование к обеспечению исполнения договора, такое обеспечение может предоставляться участником конкурентной закупки по его выбору путем внесения денежных средств на счет, указанный заказчиком в извещении об осуществлении конкурентной закупки, документации о конкурентной закупке, либо путем предоставления независимой гарантии, соответствующей требованиям раздела 9 Положения о закупке. При этом такая независимая гарантия:</w:t>
            </w:r>
          </w:p>
          <w:p w14:paraId="E4000000">
            <w:pPr>
              <w:spacing w:after="0" w:line="240" w:lineRule="auto"/>
              <w:ind/>
              <w:jc w:val="both"/>
            </w:pPr>
            <w:r>
              <w:t>1) должна содержать указание на срок ее действия, который не может составлять менее одного месяца с даты окончания, предусмотренного извещением об осуществлении конкурентной закупки с участием субъектов малого и среднего предпринимательства, документацией о такой закупке срока исполнения основного обязательства;</w:t>
            </w:r>
          </w:p>
          <w:p w14:paraId="E5000000">
            <w:pPr>
              <w:spacing w:after="0" w:line="240" w:lineRule="auto"/>
              <w:ind/>
              <w:jc w:val="both"/>
            </w:pPr>
            <w:r>
              <w:t>2) не должна содержать условие о предоставлении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14:paraId="E6000000">
            <w:pPr>
              <w:spacing w:after="0" w:line="240" w:lineRule="auto"/>
              <w:ind/>
              <w:jc w:val="both"/>
            </w:pPr>
            <w:r>
              <w:t>Договор заключается после предоставления участником закупки, с которым заключается договор, обеспечения исполнения договора в соответствии с Положением о закупке.</w:t>
            </w:r>
          </w:p>
          <w:p w14:paraId="E7000000">
            <w:pPr>
              <w:spacing w:after="0" w:line="240" w:lineRule="auto"/>
              <w:ind/>
              <w:jc w:val="both"/>
            </w:pPr>
            <w:r>
              <w:t>В случае непредоставления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p w14:paraId="E8000000">
            <w:pPr>
              <w:spacing w:after="0" w:line="240" w:lineRule="auto"/>
              <w:ind/>
              <w:jc w:val="both"/>
              <w:rPr>
                <w:b w:val="1"/>
              </w:rPr>
            </w:pPr>
            <w:r>
              <w:rPr>
                <w:b w:val="1"/>
              </w:rPr>
              <w:t>Антидемпинговые меры:</w:t>
            </w:r>
          </w:p>
          <w:p w14:paraId="E9000000">
            <w:pPr>
              <w:spacing w:after="0" w:line="240" w:lineRule="auto"/>
              <w:ind/>
              <w:jc w:val="both"/>
            </w:pPr>
            <w:r>
              <w:t xml:space="preserve">1. Если при проведении конкурентной закупки начальная (максимальная) цена договора составляет более чем пятнадцать миллионов рублей и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либо предложена сумма цен единиц товара, работы, услуги, которая на двадцать пять и более процентов ниже начальной суммы цен указанных единиц, договор заключается только после </w:t>
            </w:r>
            <w:r>
              <w:t>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пункте 25 части 1 «Информационная карта» документации о закупке, но не менее чем в размере аванса (если договором предусмотрена выплата аванса). В случае осуществления конкурентной закупки, предусмотренной разделом 15 Положения о закупке заказчика, размер такого обеспечения исполнения договора в любом случае не может превышать значения, установленного в пункте 25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 постановлением Правительства РФ от 11 декабря 2014 года № 1352).</w:t>
            </w:r>
          </w:p>
          <w:p w14:paraId="EA000000">
            <w:pPr>
              <w:spacing w:after="0" w:line="240" w:lineRule="auto"/>
              <w:ind/>
              <w:jc w:val="both"/>
            </w:pPr>
            <w:r>
              <w:t>2. Если при проведении конкурентной закупки начальная (максимальная) цена договора составляет пятнадцать миллионов рублей и менее и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либо предложена сумма цен единиц товара, работы, услуги, которая на двадцать пять и более процентов ниже начальной суммы цен указанных единиц, договор заключается только после предоставления таким участником обеспечения исполнения договора в размере, указанном в пункте 1 антидемпинговых мер, или информации, подтверждающей добросовестность такого участника в соответствии с пунктом 3 антидемпинговых  мер, с одновременным предоставлением таким участником обеспечения исполнения договора в размере обеспечения исполнения договора, указанном в извещении и в документации о закупке (при наличии). В случае осуществления конкурентной закупки, предусмотренной разделом 15 Положения о закупке, размер такого обеспечения исполнения договора в любом случае не может превышать значения, установленного в пункте 25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 постановлением Правительства РФ от 11 декабря 2014 года № 1352).</w:t>
            </w:r>
          </w:p>
          <w:p w14:paraId="EB000000">
            <w:pPr>
              <w:spacing w:after="0" w:line="240" w:lineRule="auto"/>
              <w:ind/>
              <w:jc w:val="both"/>
            </w:pPr>
            <w:r>
              <w:t xml:space="preserve">3. К информации, подтверждающей добросовестность участника закупки, относится информация, содержащаяся в реестре договоров (контрактов), заключенных заказчиками, и подтверждающая </w:t>
            </w:r>
            <w:r>
              <w:t>исполнение таким участником в течение трех лет до даты подачи заявки на участие в закупке трех договоров (контрактов) (с учетом правопреемства), исполненных без применения к такому участнику неустоек (штрафов, пеней). При этом цена одного из таких договоров (контрактов) должна составлять не менее чем двадцать процентов начальной (максимальной) цены договора, указанной в извещении об осуществлении закупки и документации о закупке (при наличии).</w:t>
            </w:r>
          </w:p>
          <w:p w14:paraId="EC000000">
            <w:pPr>
              <w:spacing w:after="0" w:line="240" w:lineRule="auto"/>
              <w:ind/>
              <w:jc w:val="both"/>
            </w:pPr>
            <w:r>
              <w:t>4. В случае проведения конкурентной закупки информация, предусмотренная пунктом 3 антидемпинговых мер, предоставляется участником закупки при направлении заказчику подписанного проекта договора. При невыполнении таким участником, признанным победителем закупки, данного требования или признании комиссией по осуществлению закупок информации, предусмотренной пунктом 3 антидемпинговых мер, недостоверной договор с таким участником не заключается, и он признается уклонившимся от заключения договора. В этом случае решение комиссии по осуществлению закупок оформляется протоколом, который размещается заказчиком в ЕИС не позднее рабочего дня, следующего за днем подписания указанного протокола.</w:t>
            </w:r>
          </w:p>
          <w:p w14:paraId="ED000000">
            <w:pPr>
              <w:spacing w:after="0" w:line="240" w:lineRule="auto"/>
              <w:ind/>
              <w:jc w:val="both"/>
            </w:pPr>
            <w:r>
              <w:t>5. Обеспечение, указанное в пунктах 1 и 2 антидемпинговых мер, предоставляется участником закупки, с которым заключается договор, до его заключения. Участник закупки, не выполнивший данного требования, признается уклонившимся от заключения договора. В этом случае уклонение участника закупки от заключения договора оформляется протоколом, который размещается в ЕИС и доводится до сведения всех участников закупки не позднее рабочего дня, следующего за днем подписания указанного протокола.</w:t>
            </w:r>
          </w:p>
          <w:p w14:paraId="EE000000">
            <w:pPr>
              <w:spacing w:after="0" w:line="240" w:lineRule="auto"/>
              <w:ind/>
              <w:jc w:val="both"/>
            </w:pPr>
            <w:r>
              <w:t>6. При проведении конкурсов в целях заключения договоров на выполнение научно-исследовательских, опытно-конструкторских или технологических работ, оказание консультационных услуг заказчик вправе установить в конкурсной документации различные величины значимости критериев оценки заявок для случаев подачи участником конкурса заявки, содержащей предложение о цене договора, которая:</w:t>
            </w:r>
          </w:p>
          <w:p w14:paraId="EF000000">
            <w:pPr>
              <w:spacing w:after="0" w:line="240" w:lineRule="auto"/>
              <w:ind/>
              <w:jc w:val="both"/>
            </w:pPr>
            <w:r>
              <w:t>1) до двадцати пяти процентов ниже начальной (максимальной) цены договора;</w:t>
            </w:r>
          </w:p>
          <w:p w14:paraId="F0000000">
            <w:pPr>
              <w:spacing w:after="0" w:line="240" w:lineRule="auto"/>
              <w:ind/>
              <w:jc w:val="both"/>
            </w:pPr>
            <w:r>
              <w:t>2) на двадцать пять и более процентов ниже начальной (максимальной) цены договора.</w:t>
            </w:r>
          </w:p>
          <w:p w14:paraId="F1000000">
            <w:pPr>
              <w:spacing w:after="0" w:line="240" w:lineRule="auto"/>
              <w:ind/>
              <w:jc w:val="both"/>
            </w:pPr>
            <w:r>
              <w:t xml:space="preserve">7. В случаях, предусмотренных подпунктом 2 пункта 6 антидемпинговых мер, величина значимости такого критерия, как цена договора, устанавливается равной </w:t>
            </w:r>
            <w:r>
              <w:t>десяти процентам суммы величин значимости всех критериев оценки заявок.</w:t>
            </w:r>
          </w:p>
          <w:p w14:paraId="F2000000">
            <w:pPr>
              <w:spacing w:after="0" w:line="240" w:lineRule="auto"/>
              <w:ind/>
              <w:jc w:val="both"/>
            </w:pPr>
            <w:r>
              <w:t>8. Если предметом договора, для заключения которого проводится конкурентная закупка, является поставка товара, необходимого для нормального жизнеобеспечения (продовольствие, средства для оказания скорой, в том числе скорой специализированной, медицинской помощи в экстренной или неотложной форме, лекарственные средства, топливо), участник закупки, предложивший цену договора, сумму цен единиц товара на двадцать пять и более процентов ниже начальной (максимальной) цены договора, начальной суммы цен единиц товара, наряду с требованиями, предусмотренными настоящим разделом, обязан представить заказчику обоснование предлагаемых цены договора, суммы цен единиц товара, которое может включать в себя гарантийное письмо от производителя с указанием цены и количества поставляемого товара (за исключением случая, если количество поставляемых товаров невозможно определить),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по предлагаемым цене, сумме цен единиц товара.</w:t>
            </w:r>
          </w:p>
          <w:p w14:paraId="F3000000">
            <w:pPr>
              <w:spacing w:after="0" w:line="240" w:lineRule="auto"/>
              <w:ind/>
              <w:jc w:val="both"/>
            </w:pPr>
            <w:r>
              <w:t>9. Обоснование, указанное в пункте 8 антидемпинговых мер, представляется участником закупки, с которым заключается договор, при направлении заказчику подписанного проекта договора при проведении конкурентной закупки. В случае невыполнения таким участником данного требования он признается уклонившимся от заключения договора. При признании комиссией по осуществлению закупок предложенных цены договора, суммы цен единиц товара необоснованными, договор с таким участником не заключается и право заключения договора переходит к участнику закупки, который предложил такие же, как и победитель этой конкурентной закупки, цену договора, сумму цен единиц товара или предложение о цене договора которого содержит лучшие условия по цене договора, следующие после условий, предложенных победителем этой конкурентной закупки. В этих случаях решение комиссии по осуществлению закупок оформляется протоколом, который размещается в ЕИС и доводится до сведения всех участников закупки не позднее рабочего дня, следующего за днем подписания указанного протокола.</w:t>
            </w:r>
          </w:p>
          <w:p w14:paraId="F4000000">
            <w:pPr>
              <w:spacing w:after="0" w:line="240" w:lineRule="auto"/>
              <w:ind/>
              <w:jc w:val="both"/>
            </w:pPr>
            <w:r>
              <w:t xml:space="preserve">10. В случае признания победителя конкурентной закупки уклонившимся от заключения договора на </w:t>
            </w:r>
            <w:r>
              <w:t>участника закупки, с которым в соответствии с Положением о закупке заключается договор, распространяются требования настоящего раздела в полном объеме.</w:t>
            </w:r>
          </w:p>
          <w:p w14:paraId="F5000000">
            <w:pPr>
              <w:spacing w:after="0" w:line="240" w:lineRule="auto"/>
              <w:ind/>
              <w:jc w:val="both"/>
            </w:pPr>
            <w:r>
              <w:t>11. Положения антидемпинговых мер не применяются в случае, если при осуществлении закупок лекарственных препаратов, которые включены в утвержденный Правительством Российской Федерации перечень жизненно необходимых и важнейших лекарственных препаратов, участником закупки, с которым заключается договор, предложена цена всех закупаемых лекарственных препаратов, сниженная не более чем на двадцать пять процентов относительно их зарегистрированной в соответствии с законодательством об обращении лекарственных средств предельной отпускной цены.</w:t>
            </w:r>
          </w:p>
          <w:p w14:paraId="F6000000">
            <w:pPr>
              <w:spacing w:after="0" w:line="240" w:lineRule="auto"/>
              <w:ind/>
              <w:jc w:val="both"/>
            </w:pPr>
            <w:r>
              <w:t>13. Выплата аванса при исполнении договора, заключенного с участником закупки, указанным в пункте 1 или 2 антидемпинговых мер, не допускается. При осуществления конкурентной закупки, предусмотренной разделом 15 Положения о закупке, размер обеспечения исполнения договора в этом случае не может превышать значения, установленного в пункте 25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 постановлением Правительства РФ от 11 декабря 2014 года № 1352).</w:t>
            </w:r>
          </w:p>
        </w:tc>
      </w:tr>
    </w:tbl>
    <w:p w14:paraId="F7000000">
      <w:pPr>
        <w:spacing w:after="0" w:line="240" w:lineRule="auto"/>
        <w:ind/>
      </w:pPr>
      <w:bookmarkEnd w:id="1"/>
    </w:p>
    <w:p w14:paraId="F8000000">
      <w:pPr>
        <w:spacing w:after="0" w:line="240" w:lineRule="auto"/>
        <w:ind/>
        <w:rPr>
          <w:b w:val="1"/>
        </w:rPr>
      </w:pPr>
    </w:p>
    <w:p w14:paraId="F9000000">
      <w:pPr>
        <w:spacing w:after="0" w:line="240" w:lineRule="auto"/>
        <w:ind/>
        <w:rPr>
          <w:b w:val="1"/>
          <w:sz w:val="22"/>
        </w:rPr>
      </w:pPr>
      <w:r>
        <w:rPr>
          <w:b w:val="1"/>
          <w:sz w:val="22"/>
        </w:rPr>
        <w:t xml:space="preserve">Сокращения, используемые в </w:t>
      </w:r>
      <w:r>
        <w:rPr>
          <w:b w:val="1"/>
          <w:sz w:val="22"/>
        </w:rPr>
        <w:t xml:space="preserve">данном </w:t>
      </w:r>
      <w:r>
        <w:rPr>
          <w:b w:val="1"/>
          <w:sz w:val="22"/>
        </w:rPr>
        <w:t>извещении:</w:t>
      </w:r>
    </w:p>
    <w:p w14:paraId="FA000000">
      <w:pPr>
        <w:spacing w:after="0" w:line="264" w:lineRule="auto"/>
        <w:ind/>
        <w:jc w:val="both"/>
        <w:rPr>
          <w:sz w:val="22"/>
        </w:rPr>
      </w:pPr>
      <w:r>
        <w:rPr>
          <w:b w:val="1"/>
          <w:sz w:val="22"/>
        </w:rPr>
        <w:t>Закон №223-ФЗ</w:t>
      </w:r>
      <w:r>
        <w:rPr>
          <w:sz w:val="22"/>
        </w:rPr>
        <w:t xml:space="preserve"> – Федеральный закон от 18 июля 2011 г</w:t>
      </w:r>
      <w:r>
        <w:rPr>
          <w:sz w:val="22"/>
        </w:rPr>
        <w:t>ода</w:t>
      </w:r>
      <w:r>
        <w:rPr>
          <w:sz w:val="22"/>
        </w:rPr>
        <w:t xml:space="preserve"> №223-ФЗ «О закупках товаров, работ, услуг отдельными видами юридических лиц».</w:t>
      </w:r>
    </w:p>
    <w:p w14:paraId="FB000000">
      <w:pPr>
        <w:spacing w:after="0" w:line="264" w:lineRule="auto"/>
        <w:ind/>
        <w:jc w:val="both"/>
        <w:rPr>
          <w:sz w:val="22"/>
          <w:highlight w:val="white"/>
        </w:rPr>
      </w:pPr>
      <w:r>
        <w:rPr>
          <w:b w:val="1"/>
          <w:sz w:val="22"/>
        </w:rPr>
        <w:t>Закон № 44-ФЗ</w:t>
      </w:r>
      <w:r>
        <w:rPr>
          <w:sz w:val="22"/>
        </w:rPr>
        <w:t xml:space="preserve"> - </w:t>
      </w:r>
      <w:r>
        <w:rPr>
          <w:sz w:val="22"/>
          <w:highlight w:val="white"/>
        </w:rPr>
        <w:t>Федеральный закон от 5 апреля 2013 года № 44-ФЗ «О контрактной системе в сфере закупок товаров, работ, услуг для обеспечения государственных и муниципальных нужд». </w:t>
      </w:r>
    </w:p>
    <w:p w14:paraId="FC000000">
      <w:pPr>
        <w:spacing w:after="0" w:line="264" w:lineRule="auto"/>
        <w:ind/>
        <w:jc w:val="both"/>
        <w:rPr>
          <w:sz w:val="22"/>
        </w:rPr>
      </w:pPr>
      <w:r>
        <w:rPr>
          <w:b w:val="1"/>
          <w:sz w:val="22"/>
        </w:rPr>
        <w:t>Положение о закупке</w:t>
      </w:r>
      <w:r>
        <w:rPr>
          <w:sz w:val="22"/>
        </w:rPr>
        <w:t xml:space="preserve"> – правовой акт заказчика, принятый с учетом части 3 статьи 2 Закона № 223-ФЗ и типового положения о закупке, основанного на шаблоне типового положения о закупке товаров, работ, услуг для нужд </w:t>
      </w:r>
      <w:r>
        <w:rPr>
          <w:sz w:val="22"/>
        </w:rPr>
        <w:t xml:space="preserve">заказчиков </w:t>
      </w:r>
      <w:r>
        <w:rPr>
          <w:sz w:val="22"/>
        </w:rPr>
        <w:t>Республики Саха (Якутия) (разработанного и утвержденного организатором закупок) и утвержденного органом исполнительной власти Республики Саха (Якутия), осуществляющим функции и полномочия учредителя бюджетного учреждения Республики Саха (Якутия), осуществляющим полномочия собственника имущества государственного унитарного предприятия Республики Саха (Якутия), в том числе казенного предприятия Республики Саха (Якутия).</w:t>
      </w:r>
    </w:p>
    <w:p w14:paraId="FD000000">
      <w:pPr>
        <w:spacing w:after="0" w:line="264" w:lineRule="auto"/>
        <w:ind/>
        <w:jc w:val="both"/>
        <w:rPr>
          <w:sz w:val="22"/>
        </w:rPr>
      </w:pPr>
      <w:r>
        <w:rPr>
          <w:b w:val="1"/>
          <w:sz w:val="22"/>
        </w:rPr>
        <w:t>ЕИС</w:t>
      </w:r>
      <w:r>
        <w:rPr>
          <w:sz w:val="22"/>
        </w:rPr>
        <w:t xml:space="preserve"> – единая информационная система в сфере закупок.</w:t>
      </w:r>
    </w:p>
    <w:p w14:paraId="FE000000">
      <w:pPr>
        <w:spacing w:after="0" w:line="264" w:lineRule="auto"/>
        <w:ind/>
        <w:jc w:val="both"/>
        <w:rPr>
          <w:sz w:val="22"/>
        </w:rPr>
      </w:pPr>
      <w:r>
        <w:rPr>
          <w:b w:val="1"/>
          <w:sz w:val="22"/>
        </w:rPr>
        <w:t>Документация</w:t>
      </w:r>
      <w:r>
        <w:rPr>
          <w:sz w:val="22"/>
        </w:rPr>
        <w:t xml:space="preserve"> – документация о конкурентной закупке.</w:t>
      </w:r>
    </w:p>
    <w:sectPr>
      <w:headerReference r:id="rId1" w:type="default"/>
      <w:pgSz w:h="16838" w:orient="portrait" w:w="11906"/>
      <w:pgMar w:bottom="1134" w:footer="708" w:gutter="0" w:header="708" w:left="851" w:right="850" w:top="1134"/>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header1.xml><?xml version="1.0" encoding="utf-8"?>
<w:hd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 w14:paraId="01000000">
    <w:pPr>
      <w:pStyle w:val="Style_1"/>
      <w:ind/>
      <w:jc w:val="right"/>
    </w:pPr>
    <w:r>
      <w:t>Версия с 01.01.2025 года</w:t>
    </w:r>
  </w:p>
</w:hdr>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lvlText w:val="%1."/>
      <w:lvlJc w:val="left"/>
      <w:pPr>
        <w:ind w:hanging="360" w:left="643"/>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num w:numId="1">
    <w:abstractNumId w:val="0"/>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08"/>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Calibri" w:hAnsi="Calibri"/>
        <w:color w:val="000000"/>
        <w:spacing w:val="0"/>
        <w:sz w:val="20"/>
      </w:rPr>
    </w:rPrDefault>
    <w:pPrDefault>
      <w:pPr>
        <w:spacing w:after="0" w:before="0" w:line="240"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8" w:type="paragraph">
    <w:name w:val="Normal"/>
    <w:link w:val="Style_8_ch"/>
    <w:uiPriority w:val="0"/>
    <w:qFormat/>
    <w:pPr>
      <w:spacing w:after="200" w:line="276" w:lineRule="auto"/>
      <w:ind/>
    </w:pPr>
    <w:rPr>
      <w:rFonts w:ascii="Times New Roman" w:hAnsi="Times New Roman"/>
      <w:sz w:val="24"/>
    </w:rPr>
  </w:style>
  <w:style w:default="1" w:styleId="Style_8_ch" w:type="character">
    <w:name w:val="Normal"/>
    <w:link w:val="Style_8"/>
    <w:rPr>
      <w:rFonts w:ascii="Times New Roman" w:hAnsi="Times New Roman"/>
      <w:sz w:val="24"/>
    </w:rPr>
  </w:style>
  <w:style w:styleId="Style_9" w:type="paragraph">
    <w:name w:val="toc 2"/>
    <w:next w:val="Style_8"/>
    <w:link w:val="Style_9_ch"/>
    <w:uiPriority w:val="39"/>
    <w:pPr>
      <w:ind w:firstLine="0" w:left="200"/>
      <w:jc w:val="left"/>
    </w:pPr>
    <w:rPr>
      <w:rFonts w:ascii="XO Thames" w:hAnsi="XO Thames"/>
      <w:sz w:val="28"/>
    </w:rPr>
  </w:style>
  <w:style w:styleId="Style_9_ch" w:type="character">
    <w:name w:val="toc 2"/>
    <w:link w:val="Style_9"/>
    <w:rPr>
      <w:rFonts w:ascii="XO Thames" w:hAnsi="XO Thames"/>
      <w:sz w:val="28"/>
    </w:rPr>
  </w:style>
  <w:style w:styleId="Style_10" w:type="paragraph">
    <w:name w:val="toc 4"/>
    <w:next w:val="Style_8"/>
    <w:link w:val="Style_10_ch"/>
    <w:uiPriority w:val="39"/>
    <w:pPr>
      <w:ind w:firstLine="0" w:left="600"/>
      <w:jc w:val="left"/>
    </w:pPr>
    <w:rPr>
      <w:rFonts w:ascii="XO Thames" w:hAnsi="XO Thames"/>
      <w:sz w:val="28"/>
    </w:rPr>
  </w:style>
  <w:style w:styleId="Style_10_ch" w:type="character">
    <w:name w:val="toc 4"/>
    <w:link w:val="Style_10"/>
    <w:rPr>
      <w:rFonts w:ascii="XO Thames" w:hAnsi="XO Thames"/>
      <w:sz w:val="28"/>
    </w:rPr>
  </w:style>
  <w:style w:styleId="Style_11" w:type="paragraph">
    <w:name w:val="toc 6"/>
    <w:next w:val="Style_8"/>
    <w:link w:val="Style_11_ch"/>
    <w:uiPriority w:val="39"/>
    <w:pPr>
      <w:ind w:firstLine="0" w:left="1000"/>
      <w:jc w:val="left"/>
    </w:pPr>
    <w:rPr>
      <w:rFonts w:ascii="XO Thames" w:hAnsi="XO Thames"/>
      <w:sz w:val="28"/>
    </w:rPr>
  </w:style>
  <w:style w:styleId="Style_11_ch" w:type="character">
    <w:name w:val="toc 6"/>
    <w:link w:val="Style_11"/>
    <w:rPr>
      <w:rFonts w:ascii="XO Thames" w:hAnsi="XO Thames"/>
      <w:sz w:val="28"/>
    </w:rPr>
  </w:style>
  <w:style w:styleId="Style_12" w:type="paragraph">
    <w:name w:val="toc 7"/>
    <w:next w:val="Style_8"/>
    <w:link w:val="Style_12_ch"/>
    <w:uiPriority w:val="39"/>
    <w:pPr>
      <w:ind w:firstLine="0" w:left="1200"/>
      <w:jc w:val="left"/>
    </w:pPr>
    <w:rPr>
      <w:rFonts w:ascii="XO Thames" w:hAnsi="XO Thames"/>
      <w:sz w:val="28"/>
    </w:rPr>
  </w:style>
  <w:style w:styleId="Style_12_ch" w:type="character">
    <w:name w:val="toc 7"/>
    <w:link w:val="Style_12"/>
    <w:rPr>
      <w:rFonts w:ascii="XO Thames" w:hAnsi="XO Thames"/>
      <w:sz w:val="28"/>
    </w:rPr>
  </w:style>
  <w:style w:styleId="Style_13" w:type="paragraph">
    <w:name w:val="Default Paragraph Font"/>
    <w:link w:val="Style_13_ch"/>
  </w:style>
  <w:style w:styleId="Style_13_ch" w:type="character">
    <w:name w:val="Default Paragraph Font"/>
    <w:link w:val="Style_13"/>
  </w:style>
  <w:style w:styleId="Style_14" w:type="paragraph">
    <w:name w:val="Balloon Text"/>
    <w:basedOn w:val="Style_8"/>
    <w:link w:val="Style_14_ch"/>
    <w:pPr>
      <w:spacing w:after="0" w:line="240" w:lineRule="auto"/>
      <w:ind/>
    </w:pPr>
    <w:rPr>
      <w:rFonts w:ascii="Tahoma" w:hAnsi="Tahoma"/>
      <w:sz w:val="16"/>
    </w:rPr>
  </w:style>
  <w:style w:styleId="Style_14_ch" w:type="character">
    <w:name w:val="Balloon Text"/>
    <w:basedOn w:val="Style_8_ch"/>
    <w:link w:val="Style_14"/>
    <w:rPr>
      <w:rFonts w:ascii="Tahoma" w:hAnsi="Tahoma"/>
      <w:sz w:val="16"/>
    </w:rPr>
  </w:style>
  <w:style w:styleId="Style_15" w:type="paragraph">
    <w:name w:val="Endnote"/>
    <w:link w:val="Style_15_ch"/>
    <w:pPr>
      <w:ind w:firstLine="851" w:left="0"/>
      <w:jc w:val="both"/>
    </w:pPr>
    <w:rPr>
      <w:rFonts w:ascii="XO Thames" w:hAnsi="XO Thames"/>
      <w:sz w:val="22"/>
    </w:rPr>
  </w:style>
  <w:style w:styleId="Style_15_ch" w:type="character">
    <w:name w:val="Endnote"/>
    <w:link w:val="Style_15"/>
    <w:rPr>
      <w:rFonts w:ascii="XO Thames" w:hAnsi="XO Thames"/>
      <w:sz w:val="22"/>
    </w:rPr>
  </w:style>
  <w:style w:styleId="Style_16" w:type="paragraph">
    <w:name w:val="heading 3"/>
    <w:next w:val="Style_8"/>
    <w:link w:val="Style_16_ch"/>
    <w:uiPriority w:val="9"/>
    <w:qFormat/>
    <w:pPr>
      <w:spacing w:after="120" w:before="120"/>
      <w:ind/>
      <w:jc w:val="both"/>
      <w:outlineLvl w:val="2"/>
    </w:pPr>
    <w:rPr>
      <w:rFonts w:ascii="XO Thames" w:hAnsi="XO Thames"/>
      <w:b w:val="1"/>
      <w:sz w:val="26"/>
    </w:rPr>
  </w:style>
  <w:style w:styleId="Style_16_ch" w:type="character">
    <w:name w:val="heading 3"/>
    <w:link w:val="Style_16"/>
    <w:rPr>
      <w:rFonts w:ascii="XO Thames" w:hAnsi="XO Thames"/>
      <w:b w:val="1"/>
      <w:sz w:val="26"/>
    </w:rPr>
  </w:style>
  <w:style w:styleId="Style_5" w:type="paragraph">
    <w:name w:val="ConsPlusNormal"/>
    <w:link w:val="Style_5_ch"/>
    <w:pPr>
      <w:widowControl w:val="0"/>
      <w:spacing w:after="200" w:line="288" w:lineRule="auto"/>
      <w:ind/>
    </w:pPr>
    <w:rPr>
      <w:rFonts w:asciiTheme="minorAscii" w:hAnsiTheme="minorHAnsi"/>
      <w:sz w:val="22"/>
    </w:rPr>
  </w:style>
  <w:style w:styleId="Style_5_ch" w:type="character">
    <w:name w:val="ConsPlusNormal"/>
    <w:link w:val="Style_5"/>
    <w:rPr>
      <w:rFonts w:asciiTheme="minorAscii" w:hAnsiTheme="minorHAnsi"/>
      <w:sz w:val="22"/>
    </w:rPr>
  </w:style>
  <w:style w:styleId="Style_17" w:type="paragraph">
    <w:name w:val="ConsNormal"/>
    <w:link w:val="Style_17_ch"/>
    <w:pPr>
      <w:widowControl w:val="0"/>
      <w:ind w:firstLine="720" w:left="0" w:right="19772"/>
    </w:pPr>
    <w:rPr>
      <w:rFonts w:ascii="Arial" w:hAnsi="Arial"/>
    </w:rPr>
  </w:style>
  <w:style w:styleId="Style_17_ch" w:type="character">
    <w:name w:val="ConsNormal"/>
    <w:link w:val="Style_17"/>
    <w:rPr>
      <w:rFonts w:ascii="Arial" w:hAnsi="Arial"/>
    </w:rPr>
  </w:style>
  <w:style w:styleId="Style_18" w:type="paragraph">
    <w:name w:val="Заголовок статьи"/>
    <w:basedOn w:val="Style_8"/>
    <w:next w:val="Style_8"/>
    <w:link w:val="Style_18_ch"/>
    <w:pPr>
      <w:spacing w:after="0" w:line="240" w:lineRule="auto"/>
      <w:ind w:hanging="892" w:left="1612"/>
      <w:jc w:val="both"/>
    </w:pPr>
    <w:rPr>
      <w:rFonts w:ascii="Arial" w:hAnsi="Arial"/>
    </w:rPr>
  </w:style>
  <w:style w:styleId="Style_18_ch" w:type="character">
    <w:name w:val="Заголовок статьи"/>
    <w:basedOn w:val="Style_8_ch"/>
    <w:link w:val="Style_18"/>
    <w:rPr>
      <w:rFonts w:ascii="Arial" w:hAnsi="Arial"/>
    </w:rPr>
  </w:style>
  <w:style w:styleId="Style_19" w:type="paragraph">
    <w:name w:val="toc 3"/>
    <w:next w:val="Style_8"/>
    <w:link w:val="Style_19_ch"/>
    <w:uiPriority w:val="39"/>
    <w:pPr>
      <w:ind w:firstLine="0" w:left="400"/>
      <w:jc w:val="left"/>
    </w:pPr>
    <w:rPr>
      <w:rFonts w:ascii="XO Thames" w:hAnsi="XO Thames"/>
      <w:sz w:val="28"/>
    </w:rPr>
  </w:style>
  <w:style w:styleId="Style_19_ch" w:type="character">
    <w:name w:val="toc 3"/>
    <w:link w:val="Style_19"/>
    <w:rPr>
      <w:rFonts w:ascii="XO Thames" w:hAnsi="XO Thames"/>
      <w:sz w:val="28"/>
    </w:rPr>
  </w:style>
  <w:style w:styleId="Style_1" w:type="paragraph">
    <w:name w:val="header"/>
    <w:basedOn w:val="Style_8"/>
    <w:link w:val="Style_1_ch"/>
    <w:pPr>
      <w:tabs>
        <w:tab w:leader="none" w:pos="4677" w:val="center"/>
        <w:tab w:leader="none" w:pos="9355" w:val="right"/>
      </w:tabs>
      <w:spacing w:after="0" w:line="240" w:lineRule="auto"/>
      <w:ind/>
    </w:pPr>
  </w:style>
  <w:style w:styleId="Style_1_ch" w:type="character">
    <w:name w:val="header"/>
    <w:basedOn w:val="Style_8_ch"/>
    <w:link w:val="Style_1"/>
  </w:style>
  <w:style w:styleId="Style_20" w:type="paragraph">
    <w:name w:val="heading 5"/>
    <w:next w:val="Style_8"/>
    <w:link w:val="Style_20_ch"/>
    <w:uiPriority w:val="9"/>
    <w:qFormat/>
    <w:pPr>
      <w:spacing w:after="120" w:before="120"/>
      <w:ind/>
      <w:jc w:val="both"/>
      <w:outlineLvl w:val="4"/>
    </w:pPr>
    <w:rPr>
      <w:rFonts w:ascii="XO Thames" w:hAnsi="XO Thames"/>
      <w:b w:val="1"/>
      <w:sz w:val="22"/>
    </w:rPr>
  </w:style>
  <w:style w:styleId="Style_20_ch" w:type="character">
    <w:name w:val="heading 5"/>
    <w:link w:val="Style_20"/>
    <w:rPr>
      <w:rFonts w:ascii="XO Thames" w:hAnsi="XO Thames"/>
      <w:b w:val="1"/>
      <w:sz w:val="22"/>
    </w:rPr>
  </w:style>
  <w:style w:styleId="Style_21" w:type="paragraph">
    <w:name w:val="Абзац списка1"/>
    <w:basedOn w:val="Style_8"/>
    <w:link w:val="Style_21_ch"/>
    <w:pPr>
      <w:spacing w:after="0" w:line="240" w:lineRule="auto"/>
      <w:ind w:firstLine="0" w:left="720"/>
      <w:contextualSpacing w:val="1"/>
    </w:pPr>
    <w:rPr>
      <w:rFonts w:ascii="Calibri" w:hAnsi="Calibri"/>
    </w:rPr>
  </w:style>
  <w:style w:styleId="Style_21_ch" w:type="character">
    <w:name w:val="Абзац списка1"/>
    <w:basedOn w:val="Style_8_ch"/>
    <w:link w:val="Style_21"/>
    <w:rPr>
      <w:rFonts w:ascii="Calibri" w:hAnsi="Calibri"/>
    </w:rPr>
  </w:style>
  <w:style w:styleId="Style_22" w:type="paragraph">
    <w:name w:val="markedcontent"/>
    <w:basedOn w:val="Style_13"/>
    <w:link w:val="Style_22_ch"/>
  </w:style>
  <w:style w:styleId="Style_22_ch" w:type="character">
    <w:name w:val="markedcontent"/>
    <w:basedOn w:val="Style_13_ch"/>
    <w:link w:val="Style_22"/>
  </w:style>
  <w:style w:styleId="Style_6" w:type="paragraph">
    <w:name w:val="heading 1"/>
    <w:basedOn w:val="Style_8"/>
    <w:next w:val="Style_8"/>
    <w:link w:val="Style_6_ch"/>
    <w:uiPriority w:val="9"/>
    <w:qFormat/>
    <w:pPr>
      <w:spacing w:after="0" w:line="240" w:lineRule="auto"/>
      <w:ind w:firstLine="709" w:left="0"/>
      <w:jc w:val="center"/>
      <w:outlineLvl w:val="0"/>
    </w:pPr>
    <w:rPr>
      <w:b w:val="1"/>
      <w:sz w:val="28"/>
    </w:rPr>
  </w:style>
  <w:style w:styleId="Style_6_ch" w:type="character">
    <w:name w:val="heading 1"/>
    <w:basedOn w:val="Style_8_ch"/>
    <w:link w:val="Style_6"/>
    <w:rPr>
      <w:b w:val="1"/>
      <w:sz w:val="28"/>
    </w:rPr>
  </w:style>
  <w:style w:styleId="Style_23" w:type="paragraph">
    <w:name w:val="Hyperlink"/>
    <w:basedOn w:val="Style_13"/>
    <w:link w:val="Style_23_ch"/>
    <w:rPr>
      <w:color w:val="0000FF"/>
      <w:u w:val="single"/>
    </w:rPr>
  </w:style>
  <w:style w:styleId="Style_23_ch" w:type="character">
    <w:name w:val="Hyperlink"/>
    <w:basedOn w:val="Style_13_ch"/>
    <w:link w:val="Style_23"/>
    <w:rPr>
      <w:color w:val="0000FF"/>
      <w:u w:val="single"/>
    </w:rPr>
  </w:style>
  <w:style w:styleId="Style_24" w:type="paragraph">
    <w:name w:val="Footnote"/>
    <w:link w:val="Style_24_ch"/>
    <w:pPr>
      <w:ind w:firstLine="851" w:left="0"/>
      <w:jc w:val="both"/>
    </w:pPr>
    <w:rPr>
      <w:rFonts w:ascii="XO Thames" w:hAnsi="XO Thames"/>
      <w:sz w:val="22"/>
    </w:rPr>
  </w:style>
  <w:style w:styleId="Style_24_ch" w:type="character">
    <w:name w:val="Footnote"/>
    <w:link w:val="Style_24"/>
    <w:rPr>
      <w:rFonts w:ascii="XO Thames" w:hAnsi="XO Thames"/>
      <w:sz w:val="22"/>
    </w:rPr>
  </w:style>
  <w:style w:styleId="Style_25" w:type="paragraph">
    <w:name w:val="toc 1"/>
    <w:next w:val="Style_8"/>
    <w:link w:val="Style_25_ch"/>
    <w:uiPriority w:val="39"/>
    <w:pPr>
      <w:ind w:firstLine="0" w:left="0"/>
      <w:jc w:val="left"/>
    </w:pPr>
    <w:rPr>
      <w:rFonts w:ascii="XO Thames" w:hAnsi="XO Thames"/>
      <w:b w:val="1"/>
      <w:sz w:val="28"/>
    </w:rPr>
  </w:style>
  <w:style w:styleId="Style_25_ch" w:type="character">
    <w:name w:val="toc 1"/>
    <w:link w:val="Style_25"/>
    <w:rPr>
      <w:rFonts w:ascii="XO Thames" w:hAnsi="XO Thames"/>
      <w:b w:val="1"/>
      <w:sz w:val="28"/>
    </w:rPr>
  </w:style>
  <w:style w:styleId="Style_26" w:type="paragraph">
    <w:name w:val="Header and Footer"/>
    <w:link w:val="Style_26_ch"/>
    <w:pPr>
      <w:spacing w:line="240" w:lineRule="auto"/>
      <w:ind/>
      <w:jc w:val="both"/>
    </w:pPr>
    <w:rPr>
      <w:rFonts w:ascii="XO Thames" w:hAnsi="XO Thames"/>
      <w:sz w:val="20"/>
    </w:rPr>
  </w:style>
  <w:style w:styleId="Style_26_ch" w:type="character">
    <w:name w:val="Header and Footer"/>
    <w:link w:val="Style_26"/>
    <w:rPr>
      <w:rFonts w:ascii="XO Thames" w:hAnsi="XO Thames"/>
      <w:sz w:val="20"/>
    </w:rPr>
  </w:style>
  <w:style w:styleId="Style_27" w:type="paragraph">
    <w:name w:val="t1"/>
    <w:basedOn w:val="Style_13"/>
    <w:link w:val="Style_27_ch"/>
    <w:rPr>
      <w:color w:val="990000"/>
    </w:rPr>
  </w:style>
  <w:style w:styleId="Style_27_ch" w:type="character">
    <w:name w:val="t1"/>
    <w:basedOn w:val="Style_13_ch"/>
    <w:link w:val="Style_27"/>
    <w:rPr>
      <w:color w:val="990000"/>
    </w:rPr>
  </w:style>
  <w:style w:styleId="Style_28" w:type="paragraph">
    <w:name w:val="toc 9"/>
    <w:next w:val="Style_8"/>
    <w:link w:val="Style_28_ch"/>
    <w:uiPriority w:val="39"/>
    <w:pPr>
      <w:ind w:firstLine="0" w:left="1600"/>
      <w:jc w:val="left"/>
    </w:pPr>
    <w:rPr>
      <w:rFonts w:ascii="XO Thames" w:hAnsi="XO Thames"/>
      <w:sz w:val="28"/>
    </w:rPr>
  </w:style>
  <w:style w:styleId="Style_28_ch" w:type="character">
    <w:name w:val="toc 9"/>
    <w:link w:val="Style_28"/>
    <w:rPr>
      <w:rFonts w:ascii="XO Thames" w:hAnsi="XO Thames"/>
      <w:sz w:val="28"/>
    </w:rPr>
  </w:style>
  <w:style w:styleId="Style_29" w:type="paragraph">
    <w:name w:val="toc 8"/>
    <w:next w:val="Style_8"/>
    <w:link w:val="Style_29_ch"/>
    <w:uiPriority w:val="39"/>
    <w:pPr>
      <w:ind w:firstLine="0" w:left="1400"/>
      <w:jc w:val="left"/>
    </w:pPr>
    <w:rPr>
      <w:rFonts w:ascii="XO Thames" w:hAnsi="XO Thames"/>
      <w:sz w:val="28"/>
    </w:rPr>
  </w:style>
  <w:style w:styleId="Style_29_ch" w:type="character">
    <w:name w:val="toc 8"/>
    <w:link w:val="Style_29"/>
    <w:rPr>
      <w:rFonts w:ascii="XO Thames" w:hAnsi="XO Thames"/>
      <w:sz w:val="28"/>
    </w:rPr>
  </w:style>
  <w:style w:styleId="Style_30" w:type="paragraph">
    <w:name w:val="ConsPlusTitle"/>
    <w:link w:val="Style_30_ch"/>
    <w:pPr>
      <w:widowControl w:val="0"/>
      <w:spacing w:after="200" w:line="288" w:lineRule="auto"/>
      <w:ind/>
    </w:pPr>
    <w:rPr>
      <w:rFonts w:asciiTheme="minorAscii" w:hAnsiTheme="minorHAnsi"/>
      <w:b w:val="1"/>
      <w:sz w:val="22"/>
    </w:rPr>
  </w:style>
  <w:style w:styleId="Style_30_ch" w:type="character">
    <w:name w:val="ConsPlusTitle"/>
    <w:link w:val="Style_30"/>
    <w:rPr>
      <w:rFonts w:asciiTheme="minorAscii" w:hAnsiTheme="minorHAnsi"/>
      <w:b w:val="1"/>
      <w:sz w:val="22"/>
    </w:rPr>
  </w:style>
  <w:style w:styleId="Style_31" w:type="paragraph">
    <w:name w:val="toc 5"/>
    <w:next w:val="Style_8"/>
    <w:link w:val="Style_31_ch"/>
    <w:uiPriority w:val="39"/>
    <w:pPr>
      <w:ind w:firstLine="0" w:left="800"/>
      <w:jc w:val="left"/>
    </w:pPr>
    <w:rPr>
      <w:rFonts w:ascii="XO Thames" w:hAnsi="XO Thames"/>
      <w:sz w:val="28"/>
    </w:rPr>
  </w:style>
  <w:style w:styleId="Style_31_ch" w:type="character">
    <w:name w:val="toc 5"/>
    <w:link w:val="Style_31"/>
    <w:rPr>
      <w:rFonts w:ascii="XO Thames" w:hAnsi="XO Thames"/>
      <w:sz w:val="28"/>
    </w:rPr>
  </w:style>
  <w:style w:styleId="Style_32" w:type="paragraph">
    <w:name w:val="Subtitle"/>
    <w:next w:val="Style_8"/>
    <w:link w:val="Style_32_ch"/>
    <w:uiPriority w:val="11"/>
    <w:qFormat/>
    <w:pPr>
      <w:ind/>
      <w:jc w:val="both"/>
    </w:pPr>
    <w:rPr>
      <w:rFonts w:ascii="XO Thames" w:hAnsi="XO Thames"/>
      <w:i w:val="1"/>
      <w:sz w:val="24"/>
    </w:rPr>
  </w:style>
  <w:style w:styleId="Style_32_ch" w:type="character">
    <w:name w:val="Subtitle"/>
    <w:link w:val="Style_32"/>
    <w:rPr>
      <w:rFonts w:ascii="XO Thames" w:hAnsi="XO Thames"/>
      <w:i w:val="1"/>
      <w:sz w:val="24"/>
    </w:rPr>
  </w:style>
  <w:style w:styleId="Style_4" w:type="paragraph">
    <w:name w:val="List Paragraph"/>
    <w:basedOn w:val="Style_8"/>
    <w:link w:val="Style_4_ch"/>
    <w:pPr>
      <w:spacing w:after="0" w:line="240" w:lineRule="auto"/>
      <w:ind w:firstLine="0" w:left="720"/>
    </w:pPr>
  </w:style>
  <w:style w:styleId="Style_4_ch" w:type="character">
    <w:name w:val="List Paragraph"/>
    <w:basedOn w:val="Style_8_ch"/>
    <w:link w:val="Style_4"/>
  </w:style>
  <w:style w:styleId="Style_33" w:type="paragraph">
    <w:name w:val="Title"/>
    <w:next w:val="Style_8"/>
    <w:link w:val="Style_33_ch"/>
    <w:uiPriority w:val="10"/>
    <w:qFormat/>
    <w:pPr>
      <w:spacing w:after="567" w:before="567"/>
      <w:ind/>
      <w:jc w:val="center"/>
    </w:pPr>
    <w:rPr>
      <w:rFonts w:ascii="XO Thames" w:hAnsi="XO Thames"/>
      <w:b w:val="1"/>
      <w:caps w:val="1"/>
      <w:sz w:val="40"/>
    </w:rPr>
  </w:style>
  <w:style w:styleId="Style_33_ch" w:type="character">
    <w:name w:val="Title"/>
    <w:link w:val="Style_33"/>
    <w:rPr>
      <w:rFonts w:ascii="XO Thames" w:hAnsi="XO Thames"/>
      <w:b w:val="1"/>
      <w:caps w:val="1"/>
      <w:sz w:val="40"/>
    </w:rPr>
  </w:style>
  <w:style w:styleId="Style_34" w:type="paragraph">
    <w:name w:val="heading 4"/>
    <w:next w:val="Style_8"/>
    <w:link w:val="Style_34_ch"/>
    <w:uiPriority w:val="9"/>
    <w:qFormat/>
    <w:pPr>
      <w:spacing w:after="120" w:before="120"/>
      <w:ind/>
      <w:jc w:val="both"/>
      <w:outlineLvl w:val="3"/>
    </w:pPr>
    <w:rPr>
      <w:rFonts w:ascii="XO Thames" w:hAnsi="XO Thames"/>
      <w:b w:val="1"/>
      <w:sz w:val="24"/>
    </w:rPr>
  </w:style>
  <w:style w:styleId="Style_34_ch" w:type="character">
    <w:name w:val="heading 4"/>
    <w:link w:val="Style_34"/>
    <w:rPr>
      <w:rFonts w:ascii="XO Thames" w:hAnsi="XO Thames"/>
      <w:b w:val="1"/>
      <w:sz w:val="24"/>
    </w:rPr>
  </w:style>
  <w:style w:styleId="Style_35" w:type="paragraph">
    <w:name w:val="heading 2"/>
    <w:basedOn w:val="Style_8"/>
    <w:next w:val="Style_8"/>
    <w:link w:val="Style_35_ch"/>
    <w:uiPriority w:val="9"/>
    <w:qFormat/>
    <w:pPr>
      <w:keepNext w:val="1"/>
      <w:keepLines w:val="1"/>
      <w:spacing w:after="0" w:before="40"/>
      <w:ind/>
      <w:outlineLvl w:val="1"/>
    </w:pPr>
    <w:rPr>
      <w:rFonts w:asciiTheme="majorAscii" w:hAnsiTheme="majorHAnsi"/>
      <w:color w:themeColor="accent1" w:themeShade="BF" w:val="376092"/>
      <w:sz w:val="26"/>
    </w:rPr>
  </w:style>
  <w:style w:styleId="Style_35_ch" w:type="character">
    <w:name w:val="heading 2"/>
    <w:basedOn w:val="Style_8_ch"/>
    <w:link w:val="Style_35"/>
    <w:rPr>
      <w:rFonts w:asciiTheme="majorAscii" w:hAnsiTheme="majorHAnsi"/>
      <w:color w:themeColor="accent1" w:themeShade="BF" w:val="376092"/>
      <w:sz w:val="26"/>
    </w:rPr>
  </w:style>
  <w:style w:styleId="Style_7" w:type="paragraph">
    <w:name w:val="No Spacing"/>
    <w:link w:val="Style_7_ch"/>
    <w:rPr>
      <w:rFonts w:ascii="Times New Roman" w:hAnsi="Times New Roman"/>
      <w:sz w:val="24"/>
    </w:rPr>
  </w:style>
  <w:style w:styleId="Style_7_ch" w:type="character">
    <w:name w:val="No Spacing"/>
    <w:link w:val="Style_7"/>
    <w:rPr>
      <w:rFonts w:ascii="Times New Roman" w:hAnsi="Times New Roman"/>
      <w:sz w:val="24"/>
    </w:rPr>
  </w:style>
  <w:style w:styleId="Style_36" w:type="paragraph">
    <w:name w:val="footer"/>
    <w:basedOn w:val="Style_8"/>
    <w:link w:val="Style_36_ch"/>
    <w:pPr>
      <w:tabs>
        <w:tab w:leader="none" w:pos="4677" w:val="center"/>
        <w:tab w:leader="none" w:pos="9355" w:val="right"/>
      </w:tabs>
      <w:spacing w:after="0" w:line="240" w:lineRule="auto"/>
      <w:ind/>
    </w:pPr>
  </w:style>
  <w:style w:styleId="Style_36_ch" w:type="character">
    <w:name w:val="footer"/>
    <w:basedOn w:val="Style_8_ch"/>
    <w:link w:val="Style_36"/>
  </w:style>
  <w:style w:default="1" w:styleId="Style_3" w:type="table">
    <w:name w:val="Normal Table"/>
    <w:tblPr>
      <w:tblInd w:type="dxa" w:w="0"/>
      <w:tblCellMar>
        <w:top w:type="dxa" w:w="0"/>
        <w:left w:type="dxa" w:w="108"/>
        <w:bottom w:type="dxa" w:w="0"/>
        <w:right w:type="dxa" w:w="108"/>
      </w:tblCellMar>
    </w:tblPr>
  </w:style>
  <w:style w:styleId="Style_2" w:type="table">
    <w:name w:val="Table Grid"/>
    <w:basedOn w:val="Style_3"/>
    <w:tblPr>
      <w:tblBorders>
        <w:top w:color="000000" w:sz="4" w:val="single"/>
        <w:left w:color="000000" w:sz="4" w:val="single"/>
        <w:bottom w:color="000000" w:sz="4" w:val="single"/>
        <w:right w:color="000000" w:sz="4" w:val="single"/>
        <w:insideH w:color="000000" w:sz="4" w:val="single"/>
        <w:insideV w:color="000000" w:sz="4" w:val="single"/>
      </w:tblBorders>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8" Target="numbering.xml" Type="http://schemas.openxmlformats.org/officeDocument/2006/relationships/numbering"/>
  <Relationship Id="rId7" Target="theme/theme1.xml" Type="http://schemas.openxmlformats.org/officeDocument/2006/relationships/theme"/>
  <Relationship Id="rId6" Target="webSettings.xml" Type="http://schemas.openxmlformats.org/officeDocument/2006/relationships/webSettings"/>
  <Relationship Id="rId5" Target="stylesWithEffects.xml" Type="http://schemas.microsoft.com/office/2007/relationships/stylesWithEffects"/>
  <Relationship Id="rId4" Target="styles.xml" Type="http://schemas.openxmlformats.org/officeDocument/2006/relationships/styles"/>
  <Relationship Id="rId3" Target="settings.xml" Type="http://schemas.openxmlformats.org/officeDocument/2006/relationships/settings"/>
  <Relationship Id="rId2" Target="fontTable.xml" Type="http://schemas.openxmlformats.org/officeDocument/2006/relationships/fontTable"/>
  <Relationship Id="rId1" Target="header1.xml" Type="http://schemas.openxmlformats.org/officeDocument/2006/relationships/header"/>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MyOffice-CoreFramework-Linux/30-1057.739.7957.691.1@09beace3f703645d68d755fb6342d49db1c39c18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2025-12-08T02:39:32Z</dcterms:modified>
</cp:coreProperties>
</file>