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3" Target="docProps/core.xml" Type="http://schemas.openxmlformats.org/package/2006/relationships/metadata/core-properties"/>
  <Relationship Id="rId2" Target="docProps/app.xml" Type="http://schemas.openxmlformats.org/officeDocument/2006/relationships/extended-properties"/>
  <Relationship Id="rId1" Target="word/document.xml" Type="http://schemas.openxmlformats.org/officeDocument/2006/relationships/officeDocument"/>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body>
    <w:p w14:paraId="03000000"/>
    <w:tbl>
      <w:tblPr>
        <w:tblStyle w:val="Style_2"/>
        <w:tblLayout w:type="fixed"/>
      </w:tblPr>
      <w:tblGrid>
        <w:gridCol w:w="2481"/>
        <w:gridCol w:w="6603"/>
        <w:gridCol w:w="5900"/>
      </w:tblGrid>
      <w:tr>
        <w:trPr>
          <w:trHeight w:hRule="atLeast" w:val="2645"/>
        </w:trPr>
        <w:tc>
          <w:tcPr>
            <w:tcW w:type="dxa" w:w="2481"/>
            <w:shd w:fill="auto" w:val="clear"/>
          </w:tcPr>
          <w:p w14:paraId="04000000">
            <w:pPr>
              <w:spacing w:after="0" w:line="240" w:lineRule="auto"/>
              <w:ind/>
              <w:jc w:val="center"/>
              <w:rPr>
                <w:color w:val="FFFFFF"/>
              </w:rPr>
            </w:pPr>
          </w:p>
          <w:p w14:paraId="05000000">
            <w:pPr>
              <w:spacing w:after="0" w:line="240" w:lineRule="auto"/>
              <w:ind/>
              <w:jc w:val="center"/>
              <w:rPr>
                <w:color w:val="FFFFFF"/>
              </w:rPr>
            </w:pPr>
          </w:p>
          <w:p w14:paraId="06000000">
            <w:pPr>
              <w:spacing w:after="0" w:before="40" w:line="229" w:lineRule="exact"/>
              <w:ind w:firstLine="0" w:left="-142"/>
              <w:jc w:val="center"/>
              <w:rPr>
                <w:color w:val="FFFFFF"/>
              </w:rPr>
            </w:pPr>
          </w:p>
        </w:tc>
        <w:tc>
          <w:tcPr>
            <w:tcW w:type="dxa" w:w="6603"/>
            <w:shd w:fill="auto" w:val="clear"/>
          </w:tcPr>
          <w:p w14:paraId="07000000">
            <w:pPr>
              <w:spacing w:after="0" w:line="240" w:lineRule="auto"/>
              <w:ind/>
            </w:pPr>
          </w:p>
          <w:p w14:paraId="08000000">
            <w:pPr>
              <w:spacing w:after="0" w:line="240" w:lineRule="auto"/>
              <w:ind w:firstLine="0" w:left="1149"/>
              <w:jc w:val="center"/>
            </w:pPr>
          </w:p>
          <w:p w14:paraId="09000000">
            <w:pPr>
              <w:spacing w:after="0" w:line="240" w:lineRule="auto"/>
              <w:ind w:firstLine="0" w:left="1149"/>
              <w:jc w:val="center"/>
            </w:pPr>
          </w:p>
          <w:p w14:paraId="0A000000">
            <w:pPr>
              <w:spacing w:after="0" w:line="240" w:lineRule="auto"/>
              <w:ind/>
              <w:jc w:val="center"/>
            </w:pPr>
          </w:p>
          <w:p w14:paraId="0B000000">
            <w:pPr>
              <w:spacing w:after="0" w:line="240" w:lineRule="auto"/>
              <w:ind w:firstLine="0" w:left="1593"/>
              <w:jc w:val="center"/>
              <w:rPr>
                <w:color w:val="FFFFFF"/>
              </w:rPr>
            </w:pPr>
          </w:p>
        </w:tc>
        <w:tc>
          <w:tcPr>
            <w:tcW w:type="dxa" w:w="5900"/>
          </w:tcPr>
          <w:p w14:paraId="0C000000">
            <w:pPr>
              <w:spacing w:after="0" w:line="240" w:lineRule="auto"/>
              <w:ind w:firstLine="0" w:left="232"/>
              <w:jc w:val="center"/>
            </w:pPr>
          </w:p>
          <w:p w14:paraId="0D000000">
            <w:pPr>
              <w:spacing w:after="0" w:line="240" w:lineRule="auto"/>
              <w:ind w:firstLine="0" w:left="232"/>
              <w:jc w:val="center"/>
            </w:pPr>
            <w:bookmarkStart w:id="1" w:name="_Hlk92211719"/>
            <w:r>
              <w:t>У Т В Е Р Ж Д А Ю</w:t>
            </w:r>
          </w:p>
          <w:p w14:paraId="0E000000">
            <w:pPr>
              <w:spacing w:after="0" w:line="240" w:lineRule="auto"/>
              <w:ind w:firstLine="0" w:left="232"/>
              <w:jc w:val="center"/>
            </w:pPr>
          </w:p>
          <w:p w14:paraId="0F000000">
            <w:pPr>
              <w:spacing w:after="0" w:line="240" w:lineRule="auto"/>
              <w:ind w:firstLine="0" w:left="232"/>
              <w:jc w:val="center"/>
            </w:pPr>
            <w:r>
              <w:t>«</w:t>
            </w:r>
            <w:r>
              <w:t>ГОСУДАРСТВЕННОЕ</w:t>
            </w:r>
            <w:r>
              <w:t xml:space="preserve"> </w:t>
            </w:r>
            <w:r>
              <w:t>АВТОНОМНОЕ</w:t>
            </w:r>
            <w:r>
              <w:t xml:space="preserve"> УЧРЕЖДЕНИЕ РЕСПУБЛИКИ САХА (ЯКУТИЯ) ''РЕСПУБЛИКАНСКАЯ БОЛЬНИЦА №1 - НАЦИОНАЛЬНЫЙ ЦЕНТР МЕДИЦИНЫ ИМЕНИ М.Е. НИКОЛАЕВА''</w:t>
            </w:r>
            <w:r>
              <w:t>»</w:t>
            </w:r>
          </w:p>
          <w:p w14:paraId="10000000">
            <w:pPr>
              <w:spacing w:after="0" w:line="240" w:lineRule="auto"/>
              <w:ind w:firstLine="0" w:left="232"/>
              <w:jc w:val="center"/>
            </w:pPr>
          </w:p>
          <w:p w14:paraId="11000000">
            <w:pPr>
              <w:spacing w:after="0" w:line="240" w:lineRule="auto"/>
              <w:ind w:firstLine="0" w:left="232"/>
              <w:jc w:val="center"/>
              <w:rPr>
                <w:i w:val="1"/>
              </w:rPr>
            </w:pPr>
            <w:r>
              <w:rPr>
                <w:i w:val="1"/>
              </w:rPr>
              <w:t>Подписано усиленной</w:t>
            </w:r>
          </w:p>
          <w:p w14:paraId="12000000">
            <w:pPr>
              <w:spacing w:after="0" w:line="240" w:lineRule="auto"/>
              <w:ind w:firstLine="0" w:left="232"/>
              <w:jc w:val="center"/>
              <w:rPr>
                <w:i w:val="1"/>
              </w:rPr>
            </w:pPr>
            <w:r>
              <w:rPr>
                <w:i w:val="1"/>
              </w:rPr>
              <w:t xml:space="preserve">квалифицированной </w:t>
            </w:r>
          </w:p>
          <w:p w14:paraId="13000000">
            <w:pPr>
              <w:spacing w:after="0" w:line="240" w:lineRule="auto"/>
              <w:ind w:firstLine="0" w:left="232"/>
              <w:jc w:val="center"/>
              <w:rPr>
                <w:i w:val="1"/>
              </w:rPr>
            </w:pPr>
            <w:r>
              <w:rPr>
                <w:i w:val="1"/>
              </w:rPr>
              <w:t>электронной подписью</w:t>
            </w:r>
            <w:bookmarkEnd w:id="1"/>
            <w:r>
              <w:rPr>
                <w:i w:val="1"/>
              </w:rPr>
              <w:t xml:space="preserve"> </w:t>
            </w:r>
          </w:p>
        </w:tc>
      </w:tr>
    </w:tbl>
    <w:p w14:paraId="14000000">
      <w:pPr>
        <w:ind/>
        <w:jc w:val="center"/>
        <w:rPr>
          <w:b w:val="1"/>
        </w:rPr>
      </w:pPr>
    </w:p>
    <w:p w14:paraId="15000000">
      <w:pPr>
        <w:rPr>
          <w:b w:val="1"/>
        </w:rPr>
      </w:pPr>
    </w:p>
    <w:p w14:paraId="16000000">
      <w:pPr>
        <w:spacing w:after="0" w:line="240" w:lineRule="auto"/>
        <w:ind/>
        <w:jc w:val="center"/>
        <w:rPr>
          <w:b w:val="1"/>
        </w:rPr>
      </w:pPr>
      <w:r>
        <w:rPr>
          <w:b w:val="1"/>
        </w:rPr>
        <w:t>ДОКУМЕНТАЦИЯ О</w:t>
      </w:r>
      <w:r>
        <w:rPr>
          <w:b w:val="1"/>
        </w:rPr>
        <w:t xml:space="preserve"> </w:t>
      </w:r>
      <w:r>
        <w:rPr>
          <w:b w:val="1"/>
        </w:rPr>
        <w:t>ПРОВЕДЕНИИ АУКЦИОНА</w:t>
      </w:r>
    </w:p>
    <w:p w14:paraId="17000000">
      <w:pPr>
        <w:spacing w:after="0" w:line="240" w:lineRule="auto"/>
        <w:ind/>
        <w:jc w:val="center"/>
        <w:rPr>
          <w:b w:val="1"/>
        </w:rPr>
      </w:pPr>
      <w:r>
        <w:rPr>
          <w:b w:val="1"/>
        </w:rPr>
        <w:t>(в электронной форме)</w:t>
      </w:r>
    </w:p>
    <w:p w14:paraId="18000000">
      <w:pPr>
        <w:ind/>
        <w:jc w:val="center"/>
        <w:rPr>
          <w:b w:val="1"/>
        </w:rPr>
      </w:pPr>
    </w:p>
    <w:p w14:paraId="19000000">
      <w:pPr>
        <w:ind/>
        <w:jc w:val="center"/>
        <w:rPr>
          <w:b w:val="1"/>
        </w:rPr>
      </w:pPr>
    </w:p>
    <w:p w14:paraId="1A000000">
      <w:pPr>
        <w:pStyle w:val="Style_3"/>
        <w:spacing w:after="240"/>
        <w:ind/>
        <w:jc w:val="center"/>
      </w:pPr>
      <w:r>
        <w:rPr>
          <w:b w:val="1"/>
        </w:rPr>
        <w:t xml:space="preserve">Номер и дата заявки: </w:t>
      </w:r>
      <w:r>
        <w:t>эа-2025-12-3321</w:t>
      </w:r>
      <w:r>
        <w:t xml:space="preserve"> </w:t>
      </w:r>
      <w:r>
        <w:t>08.12.2025</w:t>
      </w:r>
      <w:r>
        <w:t xml:space="preserve"> </w:t>
      </w:r>
    </w:p>
    <w:p w14:paraId="1B000000">
      <w:pPr>
        <w:pStyle w:val="Style_3"/>
        <w:spacing w:after="240"/>
        <w:ind/>
        <w:jc w:val="center"/>
      </w:pPr>
      <w:r>
        <w:rPr>
          <w:b w:val="1"/>
        </w:rPr>
        <w:t xml:space="preserve">Заказчик </w:t>
      </w:r>
      <w:r>
        <w:t>ГАУ</w:t>
      </w:r>
      <w:r>
        <w:t xml:space="preserve"> </w:t>
      </w:r>
      <w:r>
        <w:t>РС</w:t>
      </w:r>
      <w:r>
        <w:t xml:space="preserve"> </w:t>
      </w:r>
      <w:r>
        <w:t>(</w:t>
      </w:r>
      <w:r>
        <w:t>Я) ''РБ №1 - НЦМ ИМ.М.Е. НИКОЛАЕВА''</w:t>
      </w:r>
    </w:p>
    <w:p w14:paraId="1C000000">
      <w:pPr>
        <w:ind/>
        <w:jc w:val="center"/>
        <w:rPr>
          <w:b w:val="1"/>
        </w:rPr>
      </w:pPr>
      <w:r>
        <w:rPr>
          <w:b w:val="1"/>
        </w:rPr>
        <w:t xml:space="preserve">Предмет </w:t>
      </w:r>
      <w:r>
        <w:rPr>
          <w:b w:val="1"/>
        </w:rPr>
        <w:t>закупки</w:t>
      </w:r>
      <w:r>
        <w:rPr>
          <w:b w:val="1"/>
        </w:rPr>
        <w:t xml:space="preserve">: </w:t>
      </w:r>
      <w:r>
        <w:t>Поставка</w:t>
      </w:r>
      <w:r>
        <w:t xml:space="preserve"> </w:t>
      </w:r>
      <w:r>
        <w:t>лекарственного</w:t>
      </w:r>
      <w:r>
        <w:t xml:space="preserve"> препарата ''Ампициллин+Сульбактам'' (МНН)</w:t>
      </w:r>
    </w:p>
    <w:p w14:paraId="1D000000">
      <w:pPr>
        <w:ind/>
        <w:jc w:val="center"/>
        <w:rPr>
          <w:b w:val="1"/>
        </w:rPr>
      </w:pPr>
      <w:r>
        <w:rPr>
          <w:b w:val="1"/>
        </w:rPr>
        <w:t xml:space="preserve">Начальная (максимальная) цена </w:t>
      </w:r>
      <w:r>
        <w:rPr>
          <w:b w:val="1"/>
        </w:rPr>
        <w:t>договора</w:t>
      </w:r>
      <w:r>
        <w:rPr>
          <w:b w:val="1"/>
        </w:rPr>
        <w:t xml:space="preserve">: </w:t>
      </w:r>
      <w:r>
        <w:t>15</w:t>
      </w:r>
      <w:r>
        <w:t xml:space="preserve"> </w:t>
      </w:r>
      <w:r>
        <w:t>790</w:t>
      </w:r>
      <w:r>
        <w:t xml:space="preserve"> </w:t>
      </w:r>
      <w:r>
        <w:t>595,00</w:t>
      </w:r>
      <w:r>
        <w:t xml:space="preserve"> рублей</w:t>
      </w:r>
    </w:p>
    <w:p w14:paraId="1E000000">
      <w:pPr>
        <w:spacing w:after="0" w:line="312" w:lineRule="auto"/>
        <w:ind/>
        <w:rPr>
          <w:b w:val="1"/>
        </w:rPr>
      </w:pPr>
    </w:p>
    <w:p w14:paraId="1F000000">
      <w:pPr>
        <w:spacing w:after="0" w:line="312" w:lineRule="auto"/>
        <w:ind/>
        <w:rPr>
          <w:b w:val="1"/>
        </w:rPr>
      </w:pPr>
    </w:p>
    <w:p w14:paraId="20000000">
      <w:pPr>
        <w:spacing w:after="0" w:line="312" w:lineRule="auto"/>
        <w:ind/>
        <w:rPr>
          <w:b w:val="1"/>
        </w:rPr>
      </w:pPr>
    </w:p>
    <w:p w14:paraId="21000000">
      <w:pPr>
        <w:spacing w:after="0" w:line="312" w:lineRule="auto"/>
        <w:ind/>
        <w:rPr>
          <w:b w:val="1"/>
        </w:rPr>
      </w:pPr>
    </w:p>
    <w:p w14:paraId="22000000">
      <w:pPr>
        <w:spacing w:after="0" w:line="312" w:lineRule="auto"/>
        <w:ind/>
        <w:rPr>
          <w:b w:val="1"/>
        </w:rPr>
      </w:pPr>
    </w:p>
    <w:p w14:paraId="23000000">
      <w:pPr>
        <w:spacing w:after="0" w:line="312" w:lineRule="auto"/>
        <w:ind/>
        <w:jc w:val="center"/>
        <w:rPr>
          <w:b w:val="1"/>
        </w:rPr>
      </w:pPr>
      <w:r>
        <w:rPr>
          <w:b w:val="1"/>
        </w:rPr>
        <w:t xml:space="preserve">Содержание документации </w:t>
      </w:r>
      <w:r>
        <w:rPr>
          <w:b w:val="1"/>
        </w:rPr>
        <w:t>об аукционе</w:t>
      </w:r>
    </w:p>
    <w:p w14:paraId="24000000">
      <w:pPr>
        <w:spacing w:after="0" w:line="312" w:lineRule="auto"/>
        <w:ind/>
        <w:jc w:val="center"/>
        <w:rPr>
          <w:b w:val="1"/>
        </w:rPr>
      </w:pPr>
    </w:p>
    <w:p w14:paraId="25000000">
      <w:pPr>
        <w:spacing w:after="0" w:line="288" w:lineRule="auto"/>
        <w:ind w:firstLine="709" w:left="0"/>
        <w:jc w:val="both"/>
      </w:pPr>
      <w:r>
        <w:t xml:space="preserve">Настоящая </w:t>
      </w:r>
      <w:r>
        <w:t>документация о проведении аукциона</w:t>
      </w:r>
      <w:r>
        <w:t xml:space="preserve"> разработана в соответствии с положениями:</w:t>
      </w:r>
    </w:p>
    <w:p w14:paraId="26000000">
      <w:pPr>
        <w:spacing w:after="0" w:line="288" w:lineRule="auto"/>
        <w:ind w:firstLine="709" w:left="0"/>
        <w:jc w:val="both"/>
      </w:pPr>
      <w:r>
        <w:t>Гражданского кодекса Российской Федерации,</w:t>
      </w:r>
    </w:p>
    <w:p w14:paraId="27000000">
      <w:pPr>
        <w:spacing w:after="0" w:line="288" w:lineRule="auto"/>
        <w:ind w:firstLine="709" w:left="0"/>
        <w:jc w:val="both"/>
      </w:pPr>
      <w:r>
        <w:t xml:space="preserve">Федерального закона от </w:t>
      </w:r>
      <w:r>
        <w:rPr>
          <w:highlight w:val="white"/>
        </w:rPr>
        <w:t>18 июля 2011 года № 223-ФЗ «О закупках товаров, работ, услуг отдельными видами юридических лиц»</w:t>
      </w:r>
      <w:r>
        <w:t xml:space="preserve">, </w:t>
      </w:r>
    </w:p>
    <w:p w14:paraId="28000000">
      <w:pPr>
        <w:spacing w:after="0" w:line="288" w:lineRule="auto"/>
        <w:ind w:firstLine="709" w:left="0"/>
        <w:jc w:val="both"/>
      </w:pPr>
      <w:r>
        <w:t xml:space="preserve">Федерального закона от 26 июля 2006 года №135-ФЗ «О защите конкуренции», </w:t>
      </w:r>
    </w:p>
    <w:p w14:paraId="29000000">
      <w:pPr>
        <w:spacing w:after="0" w:line="288" w:lineRule="auto"/>
        <w:ind w:firstLine="709" w:left="0"/>
        <w:jc w:val="both"/>
      </w:pPr>
      <w:r>
        <w:t xml:space="preserve">Федерального закона от 06 апреля 2011 года №63-ФЗ «Об электронной подписи», </w:t>
      </w:r>
    </w:p>
    <w:p w14:paraId="2A000000">
      <w:pPr>
        <w:spacing w:after="0" w:line="288" w:lineRule="auto"/>
        <w:ind w:firstLine="709" w:left="0"/>
        <w:jc w:val="both"/>
      </w:pPr>
      <w:r>
        <w:t xml:space="preserve">Положения </w:t>
      </w:r>
      <w:bookmarkStart w:id="2" w:name="_Hlk84357778"/>
      <w:r>
        <w:t xml:space="preserve">о закупке товаров, работ, услуг для нужд заказчика, </w:t>
      </w:r>
      <w:bookmarkEnd w:id="2"/>
      <w:r>
        <w:t xml:space="preserve">принятого с учетом части 3 статьи 2 Закона № 223-ФЗ и типового положения о закупке, основанного на шаблоне типового положения о закупке товаров, работ, услуг для </w:t>
      </w:r>
      <w:r>
        <w:t xml:space="preserve">нужд </w:t>
      </w:r>
      <w:r>
        <w:t>заказчиков</w:t>
      </w:r>
      <w:r>
        <w:t xml:space="preserve"> </w:t>
      </w:r>
      <w:r>
        <w:t>Республики Саха (Якутия) (разработанного и утвержденного организатором закупок) и утвержденного органом исполнительной власти Республики Саха (Якутия), осуществляющим функции и полномочия учредителя бюджетного учреждения Республики Саха (Якутия), осуществляющим полномочия собственника имущества государственного унитарного предприятия Республики Саха (Якутия), в том числе казенного предприятия Республики Саха (Якутия)</w:t>
      </w:r>
      <w:r>
        <w:t>,</w:t>
      </w:r>
    </w:p>
    <w:p w14:paraId="2B000000">
      <w:pPr>
        <w:spacing w:after="0" w:line="288" w:lineRule="auto"/>
        <w:ind w:firstLine="709" w:left="0"/>
        <w:jc w:val="both"/>
        <w:rPr>
          <w:color w:val="FF0000"/>
        </w:rPr>
      </w:pPr>
      <w:r>
        <w:t>Порядк</w:t>
      </w:r>
      <w:r>
        <w:t>а</w:t>
      </w:r>
      <w:r>
        <w:t xml:space="preserve"> взаимодействия </w:t>
      </w:r>
      <w:r>
        <w:t xml:space="preserve">заказчиков </w:t>
      </w:r>
      <w:r>
        <w:t>Р</w:t>
      </w:r>
      <w:r>
        <w:t>еспублики Саха (Якутия) с государственным казенным учреждением Республики Саха (Якутия) «Центр закупок Республики Саха (Якутия)» при осуществлении закупок товаров, работ, услуг в рамках Федерального закона от 18 июля 2011 года № 223-ФЗ «О закупках товаров, работ, услуг отдельными видами юридических лиц», утвержденного п</w:t>
      </w:r>
      <w:r>
        <w:t>остановлением Правительства Республики Саха (Якутия) от 10 декабря 2021 года №512,</w:t>
      </w:r>
    </w:p>
    <w:p w14:paraId="2C000000">
      <w:pPr>
        <w:spacing w:after="0" w:line="288" w:lineRule="auto"/>
        <w:ind w:firstLine="709" w:left="0"/>
        <w:jc w:val="both"/>
      </w:pPr>
      <w:r>
        <w:t xml:space="preserve">иных федеральных законов, регулирующих отношения, связанные с осуществлением закупки, </w:t>
      </w:r>
    </w:p>
    <w:p w14:paraId="2D000000">
      <w:pPr>
        <w:spacing w:after="0" w:line="288" w:lineRule="auto"/>
        <w:ind w:firstLine="709" w:left="0"/>
        <w:jc w:val="both"/>
      </w:pPr>
      <w:r>
        <w:t>решени</w:t>
      </w:r>
      <w:r>
        <w:t>й</w:t>
      </w:r>
      <w:r>
        <w:t xml:space="preserve"> Правительства Российской Федерации и Республики Саха (Якутия), решени</w:t>
      </w:r>
      <w:r>
        <w:t>й</w:t>
      </w:r>
      <w:r>
        <w:t xml:space="preserve"> Главы Республики Саха (Якутия), </w:t>
      </w:r>
    </w:p>
    <w:p w14:paraId="2E000000">
      <w:pPr>
        <w:spacing w:after="0" w:line="288" w:lineRule="auto"/>
        <w:ind w:firstLine="709" w:left="0"/>
        <w:jc w:val="both"/>
      </w:pPr>
      <w:r>
        <w:t xml:space="preserve">иных нормативных правовых актов, регулирующих отношения, связанные с осуществлением </w:t>
      </w:r>
      <w:r>
        <w:t>закупок,</w:t>
      </w:r>
      <w:r>
        <w:t xml:space="preserve"> и состоит из следующих частей:</w:t>
      </w:r>
    </w:p>
    <w:p w14:paraId="2F000000">
      <w:pPr>
        <w:spacing w:after="0" w:line="288" w:lineRule="auto"/>
        <w:ind/>
      </w:pPr>
      <w:r>
        <w:t>Часть 1. Информационная</w:t>
      </w:r>
      <w:r>
        <w:t xml:space="preserve"> карта;</w:t>
      </w:r>
    </w:p>
    <w:p w14:paraId="30000000">
      <w:pPr>
        <w:spacing w:after="0" w:line="288" w:lineRule="auto"/>
        <w:ind/>
      </w:pPr>
      <w:r>
        <w:t xml:space="preserve">Часть </w:t>
      </w:r>
      <w:r>
        <w:t>2</w:t>
      </w:r>
      <w:r>
        <w:t xml:space="preserve">. </w:t>
      </w:r>
      <w:r>
        <w:t xml:space="preserve">Требования к содержанию, форме, оформлению и составу заявки на участие в закупке. </w:t>
      </w:r>
      <w:r>
        <w:t xml:space="preserve">Порядок проведения аукциона. </w:t>
      </w:r>
      <w:r>
        <w:t>Инструкция по заполнению заявки</w:t>
      </w:r>
      <w:r>
        <w:t xml:space="preserve"> участниками закупки;</w:t>
      </w:r>
    </w:p>
    <w:p w14:paraId="31000000">
      <w:pPr>
        <w:spacing w:after="0" w:line="288" w:lineRule="auto"/>
        <w:ind/>
      </w:pPr>
      <w:r>
        <w:t xml:space="preserve">Часть </w:t>
      </w:r>
      <w:r>
        <w:t>3</w:t>
      </w:r>
      <w:r>
        <w:t xml:space="preserve">. Описание </w:t>
      </w:r>
      <w:r>
        <w:t>предмета</w:t>
      </w:r>
      <w:r>
        <w:t xml:space="preserve"> закупки</w:t>
      </w:r>
      <w:r>
        <w:t>;</w:t>
      </w:r>
    </w:p>
    <w:p w14:paraId="32000000">
      <w:pPr>
        <w:spacing w:after="0" w:line="288" w:lineRule="auto"/>
        <w:ind/>
      </w:pPr>
      <w:r>
        <w:t xml:space="preserve">Часть </w:t>
      </w:r>
      <w:r>
        <w:t>4</w:t>
      </w:r>
      <w:r>
        <w:t xml:space="preserve">. Обоснование </w:t>
      </w:r>
      <w:r>
        <w:t>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r>
        <w:t>;</w:t>
      </w:r>
    </w:p>
    <w:p w14:paraId="33000000">
      <w:pPr>
        <w:spacing w:after="0" w:line="288" w:lineRule="auto"/>
        <w:ind/>
      </w:pPr>
      <w:r>
        <w:t xml:space="preserve">Часть </w:t>
      </w:r>
      <w:r>
        <w:t>5</w:t>
      </w:r>
      <w:r>
        <w:t xml:space="preserve">. Проект </w:t>
      </w:r>
      <w:r>
        <w:t>договора</w:t>
      </w:r>
      <w:r>
        <w:t>;</w:t>
      </w:r>
    </w:p>
    <w:p w14:paraId="34000000">
      <w:pPr>
        <w:spacing w:after="0" w:line="288" w:lineRule="auto"/>
        <w:ind/>
      </w:pPr>
      <w:r>
        <w:t xml:space="preserve">Часть </w:t>
      </w:r>
      <w:r>
        <w:t>6</w:t>
      </w:r>
      <w:r>
        <w:t xml:space="preserve">. </w:t>
      </w:r>
      <w:r>
        <w:t>Типовая форма заявки</w:t>
      </w:r>
      <w:r>
        <w:t xml:space="preserve"> (если приложена);</w:t>
      </w:r>
    </w:p>
    <w:p w14:paraId="35000000">
      <w:pPr>
        <w:rPr>
          <w:b w:val="1"/>
        </w:rPr>
      </w:pPr>
    </w:p>
    <w:p w14:paraId="36000000">
      <w:pPr>
        <w:rPr>
          <w:b w:val="1"/>
        </w:rPr>
      </w:pPr>
      <w:r>
        <w:rPr>
          <w:b w:val="1"/>
        </w:rPr>
        <w:t xml:space="preserve">Сокращения, используемые в документации </w:t>
      </w:r>
      <w:r>
        <w:rPr>
          <w:b w:val="1"/>
        </w:rPr>
        <w:t>о проведении аукциона:</w:t>
      </w:r>
    </w:p>
    <w:p w14:paraId="37000000">
      <w:pPr>
        <w:spacing w:after="0" w:line="288" w:lineRule="auto"/>
        <w:ind/>
      </w:pPr>
      <w:r>
        <w:rPr>
          <w:b w:val="1"/>
        </w:rPr>
        <w:t>Документация</w:t>
      </w:r>
      <w:r>
        <w:t xml:space="preserve"> – документация о проведении аукциона.</w:t>
      </w:r>
    </w:p>
    <w:p w14:paraId="38000000">
      <w:pPr>
        <w:spacing w:after="0" w:line="288" w:lineRule="auto"/>
        <w:ind/>
      </w:pPr>
      <w:r>
        <w:rPr>
          <w:b w:val="1"/>
        </w:rPr>
        <w:t>ЕИС</w:t>
      </w:r>
      <w:r>
        <w:t xml:space="preserve"> – единая информационная система в сфере закупок.</w:t>
      </w:r>
    </w:p>
    <w:p w14:paraId="39000000">
      <w:pPr>
        <w:spacing w:after="0" w:line="288" w:lineRule="auto"/>
        <w:ind/>
      </w:pPr>
      <w:r>
        <w:rPr>
          <w:b w:val="1"/>
        </w:rPr>
        <w:t>Закон №223-ФЗ</w:t>
      </w:r>
      <w:r>
        <w:t xml:space="preserve"> – Федеральный закон от 18 июля 2011 г. №223-ФЗ «О закупках товаров, работ, услуг отдельными видами юридических лиц».</w:t>
      </w:r>
    </w:p>
    <w:p w14:paraId="3A000000">
      <w:pPr>
        <w:spacing w:after="0" w:line="288" w:lineRule="auto"/>
        <w:ind/>
      </w:pPr>
      <w:r>
        <w:rPr>
          <w:b w:val="1"/>
        </w:rPr>
        <w:t>Закон №44-ФЗ</w:t>
      </w:r>
      <w:r>
        <w:t xml:space="preserve"> – Федеральный закон от 5 апреля 2013 г. № 44-ФЗ «О контрактной системе в сфере закупок товаров, работ, услуг для обеспечения государственных и муниципальных нужд».</w:t>
      </w:r>
    </w:p>
    <w:p w14:paraId="3B000000">
      <w:pPr>
        <w:spacing w:after="0" w:line="288" w:lineRule="auto"/>
        <w:ind/>
      </w:pPr>
      <w:r>
        <w:rPr>
          <w:b w:val="1"/>
        </w:rPr>
        <w:t>Положение о закупке заказчика</w:t>
      </w:r>
      <w:r>
        <w:t xml:space="preserve"> – правовой акт заказчика, принятый с учетом части 3 статьи 2 Закона № 223-ФЗ и типового положения о закупке, основанного на шаблоне типового положения о закупке товаров, работ, услуг для нужд </w:t>
      </w:r>
      <w:r>
        <w:t>заказчиков</w:t>
      </w:r>
      <w:r>
        <w:t xml:space="preserve"> </w:t>
      </w:r>
      <w:r>
        <w:t>Республики Саха (Якутия) (разработанного и утвержденного организатором закупок) и утвержденного органом исполнительной власти Республики Саха (Якутия), осуществляющим функции и полномочия учредителя бюджетного учреждения Республики Саха (Якутия), осуществляющим полномочия собственника имущества государственного унитарного предприятия Республики Саха (Якутия), в том числе казенного предприятия Республики Саха (Якутия).</w:t>
      </w:r>
    </w:p>
    <w:p w14:paraId="3C000000">
      <w:pPr>
        <w:spacing w:after="0" w:line="288" w:lineRule="auto"/>
        <w:ind/>
      </w:pPr>
    </w:p>
    <w:p w14:paraId="3D000000">
      <w:pPr>
        <w:spacing w:after="0" w:line="312" w:lineRule="auto"/>
        <w:ind w:firstLine="709" w:left="0"/>
        <w:jc w:val="center"/>
        <w:rPr>
          <w:b w:val="1"/>
        </w:rPr>
      </w:pPr>
      <w:r>
        <w:rPr>
          <w:b w:val="1"/>
        </w:rPr>
        <w:t xml:space="preserve">Порядок утверждения </w:t>
      </w:r>
      <w:r>
        <w:rPr>
          <w:b w:val="1"/>
        </w:rPr>
        <w:t>документации о проведении аукциона</w:t>
      </w:r>
    </w:p>
    <w:p w14:paraId="3E000000">
      <w:pPr>
        <w:spacing w:after="0" w:line="312" w:lineRule="auto"/>
        <w:ind w:firstLine="709" w:left="0"/>
        <w:jc w:val="center"/>
        <w:rPr>
          <w:b w:val="1"/>
        </w:rPr>
      </w:pPr>
    </w:p>
    <w:p w14:paraId="3F000000">
      <w:pPr>
        <w:spacing w:after="0" w:line="288" w:lineRule="auto"/>
        <w:ind w:firstLine="709" w:left="0"/>
        <w:jc w:val="both"/>
      </w:pPr>
      <w:r>
        <w:t xml:space="preserve">В соответствии с Порядком взаимодействия </w:t>
      </w:r>
      <w:r>
        <w:t>заказчиков</w:t>
      </w:r>
      <w:r>
        <w:t xml:space="preserve"> </w:t>
      </w:r>
      <w:r>
        <w:t>Республики Саха (Якутия) с государственным</w:t>
      </w:r>
      <w:r>
        <w:t xml:space="preserve"> </w:t>
      </w:r>
      <w:r>
        <w:t>казенным учреждением Республики Саха (Якутия) «Центр закупок</w:t>
      </w:r>
      <w:r>
        <w:t xml:space="preserve"> </w:t>
      </w:r>
      <w:r>
        <w:t>Республики Саха (Якутия)» при осуществлении закупок товаров, работ,</w:t>
      </w:r>
      <w:r>
        <w:t xml:space="preserve"> </w:t>
      </w:r>
      <w:r>
        <w:t>услуг в рамках Федерального закона от 18 июля 2011 г</w:t>
      </w:r>
      <w:r>
        <w:t>ода</w:t>
      </w:r>
      <w:r>
        <w:t xml:space="preserve"> № 223-ФЗ</w:t>
      </w:r>
      <w:r>
        <w:t xml:space="preserve"> </w:t>
      </w:r>
      <w:r>
        <w:t>«О закупках товаров, работ, услуг отдельными видами юридических лиц»</w:t>
      </w:r>
      <w:r>
        <w:t>, утвержденного п</w:t>
      </w:r>
      <w:r>
        <w:t>остановлени</w:t>
      </w:r>
      <w:r>
        <w:t>ем</w:t>
      </w:r>
      <w:r>
        <w:t xml:space="preserve"> Правительства Республики Саха (Якутия)</w:t>
      </w:r>
      <w:r>
        <w:t xml:space="preserve"> от 10 декабря 2021 года №512</w:t>
      </w:r>
      <w:r>
        <w:t xml:space="preserve">, </w:t>
      </w:r>
      <w:r>
        <w:t xml:space="preserve">извещение и </w:t>
      </w:r>
      <w:r>
        <w:t>документация о проведении аукциона</w:t>
      </w:r>
      <w:r>
        <w:t xml:space="preserve"> утверждается заказчиком</w:t>
      </w:r>
      <w:r>
        <w:t>.</w:t>
      </w:r>
    </w:p>
    <w:p w14:paraId="40000000">
      <w:pPr>
        <w:spacing w:after="0" w:line="312" w:lineRule="auto"/>
        <w:ind w:firstLine="709" w:left="0"/>
        <w:jc w:val="both"/>
      </w:pPr>
    </w:p>
    <w:p w14:paraId="41000000">
      <w:pPr>
        <w:spacing w:after="0" w:line="312" w:lineRule="auto"/>
        <w:ind/>
        <w:jc w:val="center"/>
        <w:rPr>
          <w:b w:val="1"/>
          <w:sz w:val="28"/>
        </w:rPr>
      </w:pPr>
      <w:r>
        <w:rPr>
          <w:b w:val="1"/>
          <w:sz w:val="28"/>
        </w:rPr>
        <w:t xml:space="preserve">Часть 1. </w:t>
      </w:r>
      <w:r>
        <w:rPr>
          <w:b w:val="1"/>
        </w:rPr>
        <w:t>ИНФОРМАЦИОННАЯ КАРТА</w:t>
      </w:r>
    </w:p>
    <w:p w14:paraId="42000000">
      <w:pPr>
        <w:spacing w:after="0" w:line="288" w:lineRule="auto"/>
        <w:ind w:firstLine="709" w:left="0"/>
        <w:jc w:val="both"/>
      </w:pPr>
      <w:r>
        <w:t xml:space="preserve">В случае разночтения информации, содержащейся в </w:t>
      </w:r>
      <w:r>
        <w:t>документации о проведении аукциона</w:t>
      </w:r>
      <w:r>
        <w:t>, преимущество имеют сведения, указанные в Информационной карте, если иное не указано в самой Информационной карте.</w:t>
      </w:r>
    </w:p>
    <w:p w14:paraId="43000000">
      <w:pPr>
        <w:spacing w:after="0" w:line="288" w:lineRule="auto"/>
        <w:ind w:firstLine="709" w:left="0"/>
        <w:jc w:val="both"/>
      </w:pPr>
      <w:r>
        <w:t xml:space="preserve">Время указано по месту нахождения </w:t>
      </w:r>
      <w:r>
        <w:t>организатора закупки</w:t>
      </w:r>
      <w:r>
        <w:t xml:space="preserve"> </w:t>
      </w:r>
      <w:r>
        <w:t>по организации и проведению закупки</w:t>
      </w:r>
      <w:r>
        <w:t>.</w:t>
      </w:r>
    </w:p>
    <w:tbl>
      <w:tblPr>
        <w:tblStyle w:val="Style_2"/>
        <w:tblBorders>
          <w:top w:color="000000" w:sz="4" w:val="single"/>
          <w:left w:color="000000" w:sz="4" w:val="single"/>
          <w:bottom w:color="000000" w:sz="4" w:val="single"/>
          <w:right w:color="000000" w:sz="4" w:val="single"/>
          <w:insideH w:color="000000" w:sz="4" w:val="single"/>
          <w:insideV w:color="000000" w:sz="4" w:val="single"/>
        </w:tblBorders>
        <w:tblLayout w:type="fixed"/>
      </w:tblPr>
      <w:tblGrid>
        <w:gridCol w:w="516"/>
        <w:gridCol w:w="6332"/>
        <w:gridCol w:w="7748"/>
      </w:tblGrid>
      <w:tr>
        <w:tc>
          <w:tcPr>
            <w:tcW w:type="dxa" w:w="516"/>
            <w:tcBorders>
              <w:top w:color="000000" w:sz="4" w:val="single"/>
              <w:left w:color="000000" w:sz="4" w:val="single"/>
              <w:bottom w:color="000000" w:sz="4" w:val="single"/>
              <w:right w:color="000000" w:sz="4" w:val="single"/>
            </w:tcBorders>
            <w:shd w:fill="auto" w:val="clear"/>
          </w:tcPr>
          <w:p w14:paraId="44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45000000">
            <w:pPr>
              <w:spacing w:after="0" w:line="240" w:lineRule="auto"/>
              <w:ind/>
              <w:jc w:val="both"/>
            </w:pPr>
            <w:r>
              <w:t>Способ закупки</w:t>
            </w:r>
            <w:r>
              <w:t>.</w:t>
            </w:r>
          </w:p>
        </w:tc>
        <w:tc>
          <w:tcPr>
            <w:tcW w:type="dxa" w:w="7748"/>
            <w:tcBorders>
              <w:top w:color="000000" w:sz="4" w:val="single"/>
              <w:left w:color="000000" w:sz="4" w:val="single"/>
              <w:bottom w:color="000000" w:sz="4" w:val="single"/>
              <w:right w:color="000000" w:sz="4" w:val="single"/>
            </w:tcBorders>
            <w:shd w:fill="auto" w:val="clear"/>
          </w:tcPr>
          <w:p w14:paraId="46000000">
            <w:pPr>
              <w:spacing w:after="0" w:line="240" w:lineRule="auto"/>
              <w:ind/>
              <w:jc w:val="both"/>
            </w:pPr>
            <w:r>
              <w:t xml:space="preserve">Аукцион </w:t>
            </w:r>
          </w:p>
        </w:tc>
      </w:tr>
      <w:tr>
        <w:tc>
          <w:tcPr>
            <w:tcW w:type="dxa" w:w="516"/>
            <w:tcBorders>
              <w:top w:color="000000" w:sz="4" w:val="single"/>
              <w:left w:color="000000" w:sz="4" w:val="single"/>
              <w:bottom w:color="000000" w:sz="4" w:val="single"/>
              <w:right w:color="000000" w:sz="4" w:val="single"/>
            </w:tcBorders>
            <w:shd w:fill="auto" w:val="clear"/>
          </w:tcPr>
          <w:p w14:paraId="47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48000000">
            <w:pPr>
              <w:spacing w:after="0" w:line="240" w:lineRule="auto"/>
              <w:ind/>
              <w:jc w:val="both"/>
            </w:pPr>
            <w:r>
              <w:t xml:space="preserve">Наименование </w:t>
            </w:r>
            <w:r>
              <w:t>предмета</w:t>
            </w:r>
            <w:r>
              <w:t xml:space="preserve"> закупки (предмет </w:t>
            </w:r>
            <w:r>
              <w:t>договора</w:t>
            </w:r>
            <w:r>
              <w:t>)</w:t>
            </w:r>
            <w:r>
              <w:t>.</w:t>
            </w:r>
          </w:p>
        </w:tc>
        <w:tc>
          <w:tcPr>
            <w:tcW w:type="dxa" w:w="7748"/>
            <w:tcBorders>
              <w:top w:color="000000" w:sz="4" w:val="single"/>
              <w:left w:color="000000" w:sz="4" w:val="single"/>
              <w:bottom w:color="000000" w:sz="4" w:val="single"/>
              <w:right w:color="000000" w:sz="4" w:val="single"/>
            </w:tcBorders>
            <w:shd w:fill="auto" w:val="clear"/>
          </w:tcPr>
          <w:p w14:paraId="49000000">
            <w:pPr>
              <w:spacing w:after="0" w:line="240" w:lineRule="auto"/>
              <w:ind/>
              <w:jc w:val="both"/>
            </w:pPr>
            <w:r>
              <w:t>Поставка</w:t>
            </w:r>
            <w:r>
              <w:t xml:space="preserve"> </w:t>
            </w:r>
            <w:r>
              <w:t>лекарственного</w:t>
            </w:r>
            <w:r>
              <w:t xml:space="preserve"> препарата ''Ампициллин+Сульбактам'' (МНН)</w:t>
            </w:r>
          </w:p>
        </w:tc>
      </w:tr>
      <w:tr>
        <w:tc>
          <w:tcPr>
            <w:tcW w:type="dxa" w:w="516"/>
            <w:tcBorders>
              <w:top w:color="000000" w:sz="4" w:val="single"/>
              <w:left w:color="000000" w:sz="4" w:val="single"/>
              <w:bottom w:color="000000" w:sz="4" w:val="single"/>
              <w:right w:color="000000" w:sz="4" w:val="single"/>
            </w:tcBorders>
            <w:shd w:fill="auto" w:val="clear"/>
          </w:tcPr>
          <w:p w14:paraId="4A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4B000000">
            <w:pPr>
              <w:spacing w:after="0" w:line="240" w:lineRule="auto"/>
              <w:ind/>
              <w:jc w:val="both"/>
            </w:pPr>
            <w:r>
              <w:t>Начальная (максимальная) цена договора, либо формула цены и максимальное значение цены договора, либо цена единицы товара, работы, услуги и максимальное значение цены договора</w:t>
            </w:r>
          </w:p>
        </w:tc>
        <w:tc>
          <w:tcPr>
            <w:tcW w:type="dxa" w:w="7748"/>
            <w:tcBorders>
              <w:top w:color="000000" w:sz="4" w:val="single"/>
              <w:left w:color="000000" w:sz="4" w:val="single"/>
              <w:bottom w:color="000000" w:sz="4" w:val="single"/>
              <w:right w:color="000000" w:sz="4" w:val="single"/>
            </w:tcBorders>
            <w:shd w:fill="auto" w:val="clear"/>
          </w:tcPr>
          <w:p w14:paraId="4C000000">
            <w:pPr>
              <w:tabs>
                <w:tab w:leader="none" w:pos="1740" w:val="left"/>
              </w:tabs>
              <w:spacing w:after="0" w:line="240" w:lineRule="auto"/>
              <w:ind/>
              <w:jc w:val="both"/>
            </w:pPr>
            <w:r>
              <w:t>15</w:t>
            </w:r>
            <w:r>
              <w:t xml:space="preserve"> </w:t>
            </w:r>
            <w:r>
              <w:t>790</w:t>
            </w:r>
            <w:r>
              <w:t xml:space="preserve"> 595,00</w:t>
            </w:r>
            <w:r>
              <w:t xml:space="preserve"> рублей</w:t>
            </w:r>
            <w:r>
              <w:t xml:space="preserve">. </w:t>
            </w:r>
            <w:r>
              <w:t>(</w:t>
            </w:r>
            <w:r>
              <w:t xml:space="preserve">НДС </w:t>
            </w:r>
            <w:r>
              <w:t>10</w:t>
            </w:r>
            <w:r>
              <w:t>%</w:t>
            </w:r>
            <w:r>
              <w:t>)</w:t>
            </w:r>
          </w:p>
        </w:tc>
      </w:tr>
      <w:tr>
        <w:tc>
          <w:tcPr>
            <w:tcW w:type="dxa" w:w="516"/>
            <w:tcBorders>
              <w:top w:color="000000" w:sz="4" w:val="single"/>
              <w:left w:color="000000" w:sz="4" w:val="single"/>
              <w:bottom w:color="000000" w:sz="4" w:val="single"/>
              <w:right w:color="000000" w:sz="4" w:val="single"/>
            </w:tcBorders>
            <w:shd w:fill="auto" w:val="clear"/>
          </w:tcPr>
          <w:p w14:paraId="4D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4E000000">
            <w:pPr>
              <w:spacing w:after="0" w:line="240" w:lineRule="auto"/>
              <w:ind/>
              <w:jc w:val="both"/>
            </w:pPr>
            <w:r>
              <w:t>Место поставки товара, выполнения работ, оказания услуг.</w:t>
            </w:r>
          </w:p>
        </w:tc>
        <w:tc>
          <w:tcPr>
            <w:tcW w:type="dxa" w:w="7748"/>
            <w:tcBorders>
              <w:top w:color="000000" w:sz="4" w:val="single"/>
              <w:left w:color="000000" w:sz="4" w:val="single"/>
              <w:bottom w:color="000000" w:sz="4" w:val="single"/>
              <w:right w:color="000000" w:sz="4" w:val="single"/>
            </w:tcBorders>
            <w:shd w:fill="auto" w:val="clear"/>
          </w:tcPr>
          <w:p w14:paraId="4F000000">
            <w:pPr>
              <w:spacing w:after="0" w:line="240" w:lineRule="auto"/>
              <w:ind/>
              <w:contextualSpacing w:val="1"/>
              <w:jc w:val="both"/>
            </w:pPr>
            <w:r>
              <w:t>677010, РС (</w:t>
            </w:r>
            <w:r>
              <w:t>Я), г. Якутск, Сергеляхское шоссе, 4, склад Аптеки СС. Идентификатор места деятельности – 00000000543723.</w:t>
            </w:r>
          </w:p>
        </w:tc>
      </w:tr>
      <w:tr>
        <w:tc>
          <w:tcPr>
            <w:tcW w:type="dxa" w:w="516"/>
            <w:tcBorders>
              <w:top w:color="000000" w:sz="4" w:val="single"/>
              <w:left w:color="000000" w:sz="4" w:val="single"/>
              <w:bottom w:color="000000" w:sz="4" w:val="single"/>
              <w:right w:color="000000" w:sz="4" w:val="single"/>
            </w:tcBorders>
            <w:shd w:fill="auto" w:val="clear"/>
          </w:tcPr>
          <w:p w14:paraId="50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51000000">
            <w:pPr>
              <w:spacing w:after="0" w:line="240" w:lineRule="auto"/>
              <w:ind/>
              <w:jc w:val="both"/>
            </w:pPr>
            <w:r>
              <w:t xml:space="preserve">Условия и сроки (периоды) </w:t>
            </w:r>
            <w:r>
              <w:t>поставки товара, выполнения работ, оказания услуг.</w:t>
            </w:r>
          </w:p>
        </w:tc>
        <w:tc>
          <w:tcPr>
            <w:tcW w:type="dxa" w:w="7748"/>
            <w:tcBorders>
              <w:top w:color="000000" w:sz="4" w:val="single"/>
              <w:left w:color="000000" w:sz="4" w:val="single"/>
              <w:bottom w:color="000000" w:sz="4" w:val="single"/>
              <w:right w:color="000000" w:sz="4" w:val="single"/>
            </w:tcBorders>
            <w:shd w:fill="auto" w:val="clear"/>
          </w:tcPr>
          <w:p w14:paraId="52000000">
            <w:pPr>
              <w:spacing w:after="0" w:line="240" w:lineRule="auto"/>
              <w:ind/>
              <w:contextualSpacing w:val="1"/>
              <w:jc w:val="both"/>
            </w:pPr>
            <w:r>
              <w:t>Раздел 6,7 Проекта</w:t>
            </w:r>
            <w:r>
              <w:t xml:space="preserve"> Договора</w:t>
            </w:r>
          </w:p>
          <w:p w14:paraId="53000000">
            <w:pPr>
              <w:spacing w:after="0" w:line="240" w:lineRule="auto"/>
              <w:ind/>
              <w:contextualSpacing w:val="1"/>
              <w:jc w:val="both"/>
            </w:pPr>
            <w:r>
              <w:t>Поставка должна быть</w:t>
            </w:r>
            <w:r>
              <w:t xml:space="preserve"> осуществлена по графику: 1 поставка – (566 уп. позиции №1; 1 666 уп. позиции №2 и 20 000 уп. позиции №3) в течение 14 дней со дня заключения договора, 2 поставка - (566 уп. позиции №1; 1 666 уп. позиции №2 и 20 000 уп. позиции №3) до 30.06.2026г., 3 поставка - (568 уп. позиции №1; 1 668 уп. позиции №2 и 20 000 уп. позиции №3) до 30.10.2026г.</w:t>
            </w:r>
          </w:p>
        </w:tc>
      </w:tr>
      <w:tr>
        <w:trPr>
          <w:trHeight w:hRule="atLeast" w:val="644"/>
        </w:trPr>
        <w:tc>
          <w:tcPr>
            <w:tcW w:type="dxa" w:w="516"/>
            <w:tcBorders>
              <w:top w:color="000000" w:sz="4" w:val="single"/>
              <w:left w:color="000000" w:sz="4" w:val="single"/>
              <w:bottom w:color="000000" w:sz="4" w:val="single"/>
              <w:right w:color="000000" w:sz="4" w:val="single"/>
            </w:tcBorders>
            <w:shd w:fill="auto" w:val="clear"/>
          </w:tcPr>
          <w:p w14:paraId="54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55000000">
            <w:pPr>
              <w:spacing w:after="0" w:line="240" w:lineRule="auto"/>
              <w:ind/>
              <w:jc w:val="both"/>
            </w:pPr>
            <w:r>
              <w:t xml:space="preserve">Форма, </w:t>
            </w:r>
            <w:r>
              <w:t xml:space="preserve">сроки и </w:t>
            </w:r>
            <w:r>
              <w:t>порядок оплаты товара, работы, услуги</w:t>
            </w:r>
            <w:r>
              <w:t>, в том числе размер аванса.</w:t>
            </w:r>
          </w:p>
        </w:tc>
        <w:tc>
          <w:tcPr>
            <w:tcW w:type="dxa" w:w="7748"/>
            <w:tcBorders>
              <w:top w:color="000000" w:sz="4" w:val="single"/>
              <w:left w:color="000000" w:sz="4" w:val="single"/>
              <w:bottom w:color="000000" w:sz="4" w:val="single"/>
              <w:right w:color="000000" w:sz="4" w:val="single"/>
            </w:tcBorders>
            <w:shd w:fill="auto" w:val="clear"/>
          </w:tcPr>
          <w:p w14:paraId="56000000">
            <w:pPr>
              <w:spacing w:after="0" w:line="240" w:lineRule="auto"/>
              <w:ind/>
              <w:contextualSpacing w:val="1"/>
              <w:jc w:val="both"/>
            </w:pPr>
            <w:r>
              <w:t>Оплата по факту</w:t>
            </w:r>
            <w:r>
              <w:t xml:space="preserve"> поставки товара не позднее 7 (Семи) рабочих дней со дня подписания Сторонами универсального передаточного документа (либо товарной накладной, счет-фактуры, акта приема-передачи), счета, подтверждающего факт и стоимость поставки Товара. Срок исчисляется со дня подписания УПД (либо товарной накладной, счета-фактуры, акта приема-передачи).</w:t>
            </w:r>
          </w:p>
          <w:p w14:paraId="57000000">
            <w:pPr>
              <w:spacing w:after="0" w:line="240" w:lineRule="auto"/>
              <w:ind/>
              <w:contextualSpacing w:val="1"/>
              <w:jc w:val="both"/>
            </w:pPr>
            <w:r>
              <w:t>Аванс не предусмотрен. Оплата производится при условии предоставления Поставщиком универсального передаточного документа (УПД) в 3-х экземплярах (либо товарной накладной в 3-х экземплярах, счет-фактуры в 2-х экземплярах, акта приема-передачи в 2-х экземплярах), счета на оплату в 1-м экземпляре.</w:t>
            </w:r>
          </w:p>
        </w:tc>
      </w:tr>
      <w:tr>
        <w:tc>
          <w:tcPr>
            <w:tcW w:type="dxa" w:w="516"/>
            <w:tcBorders>
              <w:top w:color="000000" w:sz="4" w:val="single"/>
              <w:left w:color="000000" w:sz="4" w:val="single"/>
              <w:bottom w:color="000000" w:sz="4" w:val="single"/>
              <w:right w:color="000000" w:sz="4" w:val="single"/>
            </w:tcBorders>
            <w:shd w:fill="auto" w:val="clear"/>
          </w:tcPr>
          <w:p w14:paraId="58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59000000">
            <w:pPr>
              <w:spacing w:after="0" w:line="240" w:lineRule="auto"/>
              <w:ind/>
              <w:jc w:val="both"/>
              <w:rPr>
                <w:highlight w:val="white"/>
              </w:rPr>
            </w:pPr>
            <w:r>
              <w:t>Информация об отнесении к национальным проектам.</w:t>
            </w:r>
          </w:p>
        </w:tc>
        <w:tc>
          <w:tcPr>
            <w:tcW w:type="dxa" w:w="7748"/>
            <w:tcBorders>
              <w:top w:color="000000" w:sz="4" w:val="single"/>
              <w:left w:color="000000" w:sz="4" w:val="single"/>
              <w:bottom w:color="000000" w:sz="4" w:val="single"/>
              <w:right w:color="000000" w:sz="4" w:val="single"/>
            </w:tcBorders>
            <w:shd w:fill="auto" w:val="clear"/>
          </w:tcPr>
          <w:p w14:paraId="5A000000">
            <w:pPr>
              <w:spacing w:after="0" w:line="240" w:lineRule="auto"/>
              <w:ind/>
              <w:contextualSpacing w:val="1"/>
              <w:jc w:val="both"/>
              <w:rPr>
                <w:color w:val="FF0000"/>
                <w:highlight w:val="cyan"/>
              </w:rPr>
            </w:pPr>
            <w:r>
              <w:t>Нет</w:t>
            </w:r>
          </w:p>
        </w:tc>
      </w:tr>
      <w:tr>
        <w:tc>
          <w:tcPr>
            <w:tcW w:type="dxa" w:w="516"/>
            <w:tcBorders>
              <w:top w:color="000000" w:sz="4" w:val="single"/>
              <w:left w:color="000000" w:sz="4" w:val="single"/>
              <w:bottom w:color="000000" w:sz="4" w:val="single"/>
              <w:right w:color="000000" w:sz="4" w:val="single"/>
            </w:tcBorders>
            <w:shd w:fill="auto" w:val="clear"/>
          </w:tcPr>
          <w:p w14:paraId="5B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5C000000">
            <w:pPr>
              <w:spacing w:after="0" w:line="240" w:lineRule="auto"/>
              <w:ind/>
              <w:jc w:val="both"/>
              <w:rPr>
                <w:color w:val="FF0000"/>
              </w:rPr>
            </w:pPr>
            <w:r>
              <w:t>Участники закупки.</w:t>
            </w:r>
            <w:r>
              <w:t xml:space="preserve"> </w:t>
            </w:r>
          </w:p>
        </w:tc>
        <w:tc>
          <w:tcPr>
            <w:tcW w:type="dxa" w:w="7748"/>
            <w:tcBorders>
              <w:top w:color="000000" w:sz="4" w:val="single"/>
              <w:left w:color="000000" w:sz="4" w:val="single"/>
              <w:bottom w:color="000000" w:sz="4" w:val="single"/>
              <w:right w:color="000000" w:sz="4" w:val="single"/>
            </w:tcBorders>
            <w:shd w:fill="auto" w:val="clear"/>
          </w:tcPr>
          <w:p w14:paraId="5D000000">
            <w:pPr>
              <w:spacing w:after="0" w:line="240" w:lineRule="auto"/>
              <w:ind/>
              <w:contextualSpacing w:val="1"/>
              <w:jc w:val="both"/>
              <w:rPr>
                <w:highlight w:val="yellow"/>
              </w:rPr>
            </w:pPr>
            <w:r>
              <w:t>С</w:t>
            </w:r>
            <w:r>
              <w:t>убъекты малого и среднего предпринимательства.</w:t>
            </w:r>
          </w:p>
        </w:tc>
      </w:tr>
      <w:tr>
        <w:tc>
          <w:tcPr>
            <w:tcW w:type="dxa" w:w="516"/>
            <w:tcBorders>
              <w:top w:color="000000" w:sz="4" w:val="single"/>
              <w:left w:color="000000" w:sz="4" w:val="single"/>
              <w:bottom w:color="000000" w:sz="4" w:val="single"/>
              <w:right w:color="000000" w:sz="4" w:val="single"/>
            </w:tcBorders>
            <w:shd w:fill="auto" w:val="clear"/>
          </w:tcPr>
          <w:p w14:paraId="5E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5F000000">
            <w:pPr>
              <w:spacing w:after="0" w:line="240" w:lineRule="auto"/>
              <w:ind/>
              <w:jc w:val="both"/>
              <w:rPr>
                <w:color w:val="FF0000"/>
              </w:rPr>
            </w:pPr>
            <w:r>
              <w:rPr>
                <w:highlight w:val="white"/>
              </w:rPr>
              <w:t xml:space="preserve">Требования, установленные в соответствии с законодательством Российской Федерации к лицам, осуществляющим поставку товара, выполнение работы, оказание услуги, являющихся </w:t>
            </w:r>
            <w:r>
              <w:rPr>
                <w:highlight w:val="white"/>
              </w:rPr>
              <w:t>предметом</w:t>
            </w:r>
            <w:r>
              <w:rPr>
                <w:highlight w:val="white"/>
              </w:rPr>
              <w:t xml:space="preserve"> </w:t>
            </w:r>
            <w:r>
              <w:rPr>
                <w:highlight w:val="white"/>
              </w:rPr>
              <w:t>закупки</w:t>
            </w:r>
            <w:r>
              <w:t xml:space="preserve"> </w:t>
            </w:r>
            <w:r>
              <w:t xml:space="preserve">в соответствии </w:t>
            </w:r>
            <w:r>
              <w:t xml:space="preserve">с </w:t>
            </w:r>
            <w:r>
              <w:t>п</w:t>
            </w:r>
            <w:r>
              <w:rPr>
                <w:highlight w:val="white"/>
              </w:rPr>
              <w:t>.п</w:t>
            </w:r>
            <w:r>
              <w:rPr>
                <w:highlight w:val="white"/>
              </w:rPr>
              <w:t>. «и»</w:t>
            </w:r>
            <w:r>
              <w:rPr>
                <w:highlight w:val="white"/>
              </w:rPr>
              <w:t xml:space="preserve"> </w:t>
            </w:r>
            <w:r>
              <w:rPr>
                <w:highlight w:val="white"/>
              </w:rPr>
              <w:t>п. 12.1 Положения о закупке</w:t>
            </w:r>
          </w:p>
        </w:tc>
        <w:tc>
          <w:tcPr>
            <w:tcW w:type="dxa" w:w="7748"/>
            <w:tcBorders>
              <w:top w:color="000000" w:sz="4" w:val="single"/>
              <w:left w:color="000000" w:sz="4" w:val="single"/>
              <w:bottom w:color="000000" w:sz="4" w:val="single"/>
              <w:right w:color="000000" w:sz="4" w:val="single"/>
            </w:tcBorders>
            <w:shd w:fill="auto" w:val="clear"/>
          </w:tcPr>
          <w:p w14:paraId="60000000">
            <w:pPr>
              <w:spacing w:after="0" w:line="240" w:lineRule="auto"/>
              <w:ind/>
              <w:contextualSpacing w:val="1"/>
              <w:jc w:val="both"/>
              <w:rPr>
                <w:rFonts w:ascii="Times New Roman" w:hAnsi="Times New Roman"/>
                <w:sz w:val="24"/>
              </w:rPr>
            </w:pPr>
            <w:r>
              <w:rPr>
                <w:rFonts w:ascii="Times New Roman" w:hAnsi="Times New Roman"/>
                <w:sz w:val="24"/>
              </w:rPr>
              <w:t xml:space="preserve">Участник закупки в соответствии с п. 47 ч. 1 ст. 12 Федерального закона от 04.05.2011 №99-ФЗ «О лицензировании отдельных видов деятельности», ст. 8 Федерального закона от 12.04.2010 №61-ФЗ «Об обращении лекарственных средств», Положением о лицензировании фармацевтической деятельности, утвержденным постановлением Правительства РФ от 31.03.2022 № 547 «Об утверждении Положения о лицензировании фармацевтической деятельности» должен иметь действующую </w:t>
            </w:r>
            <w:r>
              <w:rPr>
                <w:rFonts w:ascii="Times New Roman" w:hAnsi="Times New Roman"/>
                <w:b w:val="1"/>
                <w:sz w:val="24"/>
              </w:rPr>
              <w:t>лицензию на осуществление фармацевтической деятельности</w:t>
            </w:r>
            <w:r>
              <w:rPr>
                <w:rFonts w:ascii="Times New Roman" w:hAnsi="Times New Roman"/>
                <w:sz w:val="24"/>
              </w:rPr>
              <w:t>, включающую в себя следующие работы (услуги):</w:t>
            </w:r>
          </w:p>
          <w:p w14:paraId="61000000">
            <w:pPr>
              <w:spacing w:after="0" w:line="240" w:lineRule="auto"/>
              <w:ind/>
              <w:contextualSpacing w:val="1"/>
              <w:jc w:val="both"/>
              <w:rPr>
                <w:rFonts w:ascii="Times New Roman" w:hAnsi="Times New Roman"/>
                <w:sz w:val="24"/>
              </w:rPr>
            </w:pPr>
            <w:r>
              <w:rPr>
                <w:rFonts w:ascii="Times New Roman" w:hAnsi="Times New Roman"/>
                <w:sz w:val="24"/>
              </w:rPr>
              <w:t>В сфере обращения лекарственных средств для медицинского применения:</w:t>
            </w:r>
          </w:p>
          <w:p w14:paraId="62000000">
            <w:pPr>
              <w:spacing w:after="0" w:line="240" w:lineRule="auto"/>
              <w:ind/>
              <w:contextualSpacing w:val="1"/>
              <w:jc w:val="both"/>
              <w:rPr>
                <w:rFonts w:ascii="Times New Roman" w:hAnsi="Times New Roman"/>
                <w:sz w:val="24"/>
              </w:rPr>
            </w:pPr>
            <w:r>
              <w:rPr>
                <w:rFonts w:ascii="Times New Roman" w:hAnsi="Times New Roman"/>
                <w:sz w:val="24"/>
              </w:rPr>
              <w:t>Оптовая торговля лекарственными средствами для медицинского</w:t>
            </w:r>
            <w:r>
              <w:rPr>
                <w:rFonts w:ascii="Times New Roman" w:hAnsi="Times New Roman"/>
                <w:sz w:val="24"/>
              </w:rPr>
              <w:t xml:space="preserve"> </w:t>
            </w:r>
            <w:r>
              <w:rPr>
                <w:rFonts w:ascii="Times New Roman" w:hAnsi="Times New Roman"/>
                <w:sz w:val="24"/>
              </w:rPr>
              <w:t xml:space="preserve">применения </w:t>
            </w:r>
          </w:p>
          <w:p w14:paraId="63000000">
            <w:pPr>
              <w:spacing w:after="0" w:line="240" w:lineRule="auto"/>
              <w:ind/>
              <w:contextualSpacing w:val="1"/>
              <w:jc w:val="both"/>
              <w:rPr>
                <w:rFonts w:ascii="Times New Roman" w:hAnsi="Times New Roman"/>
                <w:b w:val="1"/>
                <w:sz w:val="24"/>
              </w:rPr>
            </w:pPr>
            <w:r>
              <w:rPr>
                <w:rFonts w:ascii="Times New Roman" w:hAnsi="Times New Roman"/>
                <w:b w:val="1"/>
                <w:sz w:val="24"/>
              </w:rPr>
              <w:t>ИЛИ</w:t>
            </w:r>
          </w:p>
          <w:p w14:paraId="64000000">
            <w:pPr>
              <w:spacing w:after="0" w:line="240" w:lineRule="auto"/>
              <w:ind/>
              <w:contextualSpacing w:val="1"/>
              <w:jc w:val="both"/>
              <w:rPr>
                <w:rFonts w:ascii="Times New Roman" w:hAnsi="Times New Roman"/>
                <w:sz w:val="24"/>
              </w:rPr>
            </w:pPr>
            <w:r>
              <w:rPr>
                <w:rFonts w:ascii="Times New Roman" w:hAnsi="Times New Roman"/>
                <w:sz w:val="24"/>
              </w:rPr>
              <w:t xml:space="preserve">Положением о лицензировании производства лекарственных средств, утвержденным постановлением Правительства РФ от 6 июля 2012 г. </w:t>
            </w:r>
            <w:r>
              <w:rPr>
                <w:rFonts w:ascii="Times New Roman" w:hAnsi="Times New Roman"/>
                <w:sz w:val="24"/>
              </w:rPr>
              <w:t>№</w:t>
            </w:r>
            <w:r>
              <w:rPr>
                <w:rFonts w:ascii="Times New Roman" w:hAnsi="Times New Roman"/>
                <w:sz w:val="24"/>
              </w:rPr>
              <w:t xml:space="preserve"> 686 </w:t>
            </w:r>
            <w:r>
              <w:rPr>
                <w:rFonts w:ascii="Times New Roman" w:hAnsi="Times New Roman"/>
                <w:sz w:val="24"/>
              </w:rPr>
              <w:t>«</w:t>
            </w:r>
            <w:r>
              <w:rPr>
                <w:rFonts w:ascii="Times New Roman" w:hAnsi="Times New Roman"/>
                <w:sz w:val="24"/>
              </w:rPr>
              <w:t>Об утверждении Положения о лицензировании производства лекарственных средств</w:t>
            </w:r>
            <w:r>
              <w:rPr>
                <w:rFonts w:ascii="Times New Roman" w:hAnsi="Times New Roman"/>
                <w:sz w:val="24"/>
              </w:rPr>
              <w:t>»</w:t>
            </w:r>
            <w:r>
              <w:rPr>
                <w:rFonts w:ascii="Times New Roman" w:hAnsi="Times New Roman"/>
                <w:sz w:val="24"/>
              </w:rPr>
              <w:t xml:space="preserve"> должен иметь действующую лицензию по производству лекарственных средств с указанием следующих видов:</w:t>
            </w:r>
          </w:p>
          <w:p w14:paraId="65000000">
            <w:pPr>
              <w:spacing w:after="0" w:line="240" w:lineRule="auto"/>
              <w:ind/>
              <w:contextualSpacing w:val="1"/>
              <w:jc w:val="both"/>
              <w:rPr>
                <w:rFonts w:ascii="Times New Roman" w:hAnsi="Times New Roman"/>
                <w:sz w:val="24"/>
              </w:rPr>
            </w:pPr>
            <w:r>
              <w:rPr>
                <w:rFonts w:ascii="Times New Roman" w:hAnsi="Times New Roman"/>
                <w:sz w:val="24"/>
              </w:rPr>
              <w:t>реализация и (или) передача произведенных лекарственных средств.</w:t>
            </w:r>
          </w:p>
          <w:p w14:paraId="66000000">
            <w:pPr>
              <w:spacing w:after="0" w:line="240" w:lineRule="auto"/>
              <w:ind/>
              <w:contextualSpacing w:val="1"/>
              <w:jc w:val="both"/>
              <w:rPr>
                <w:rFonts w:ascii="Times New Roman" w:hAnsi="Times New Roman"/>
                <w:i w:val="1"/>
                <w:sz w:val="24"/>
              </w:rPr>
            </w:pPr>
            <w:r>
              <w:rPr>
                <w:rFonts w:ascii="Times New Roman" w:hAnsi="Times New Roman"/>
                <w:i w:val="1"/>
                <w:sz w:val="24"/>
              </w:rPr>
              <w:t>Соответствие требованиям, подтверждается предоставлением одним из следующих документов:</w:t>
            </w:r>
          </w:p>
          <w:p w14:paraId="67000000">
            <w:pPr>
              <w:spacing w:after="0" w:line="240" w:lineRule="auto"/>
              <w:ind/>
              <w:contextualSpacing w:val="1"/>
              <w:jc w:val="both"/>
              <w:rPr>
                <w:rFonts w:ascii="Times New Roman" w:hAnsi="Times New Roman"/>
                <w:i w:val="1"/>
                <w:sz w:val="24"/>
              </w:rPr>
            </w:pPr>
            <w:r>
              <w:rPr>
                <w:rFonts w:ascii="Times New Roman" w:hAnsi="Times New Roman"/>
                <w:i w:val="1"/>
                <w:sz w:val="24"/>
              </w:rPr>
              <w:t>-  выписки из реестра лицензий (или копию такого документа);</w:t>
            </w:r>
          </w:p>
          <w:p w14:paraId="68000000">
            <w:pPr>
              <w:spacing w:after="0" w:line="240" w:lineRule="auto"/>
              <w:ind/>
              <w:contextualSpacing w:val="1"/>
              <w:jc w:val="both"/>
              <w:rPr>
                <w:rFonts w:ascii="Times New Roman" w:hAnsi="Times New Roman"/>
                <w:i w:val="1"/>
                <w:sz w:val="24"/>
              </w:rPr>
            </w:pPr>
            <w:r>
              <w:rPr>
                <w:rFonts w:ascii="Times New Roman" w:hAnsi="Times New Roman"/>
                <w:i w:val="1"/>
                <w:sz w:val="24"/>
              </w:rPr>
              <w:t>- уведомления о предоставлении лицензии, содержащее ссылку на сведения о предоставлении лицензии из реестра лицензий, размещенные в информационно-телекоммуникационной сети «Интернет» (или копию такого документа);</w:t>
            </w:r>
          </w:p>
          <w:p w14:paraId="69000000">
            <w:pPr>
              <w:spacing w:after="0" w:line="240" w:lineRule="auto"/>
              <w:ind/>
              <w:contextualSpacing w:val="1"/>
              <w:jc w:val="both"/>
              <w:rPr>
                <w:rFonts w:ascii="Times New Roman" w:hAnsi="Times New Roman"/>
                <w:i w:val="1"/>
                <w:sz w:val="24"/>
              </w:rPr>
            </w:pPr>
            <w:r>
              <w:rPr>
                <w:rFonts w:ascii="Times New Roman" w:hAnsi="Times New Roman"/>
                <w:i w:val="1"/>
                <w:sz w:val="24"/>
              </w:rPr>
              <w:t xml:space="preserve">- лицензией, выданной до 01.01.2021 г. (или копию такого документа). </w:t>
            </w:r>
          </w:p>
          <w:p w14:paraId="6A000000">
            <w:pPr>
              <w:spacing w:after="0" w:before="120" w:line="240" w:lineRule="auto"/>
              <w:ind/>
              <w:jc w:val="both"/>
              <w:rPr>
                <w:i w:val="1"/>
                <w:color w:val="FF0000"/>
              </w:rPr>
            </w:pPr>
            <w:r>
              <w:rPr>
                <w:rFonts w:ascii="Times New Roman" w:hAnsi="Times New Roman"/>
                <w:i w:val="1"/>
                <w:sz w:val="24"/>
              </w:rPr>
              <w:t>Достоверность сведений, вышеуказанных документов, проверяется в реестре лицензий (за исключением случаев невозможности доступа членов комиссии к указанным реестрам).</w:t>
            </w:r>
          </w:p>
          <w:p w14:paraId="6B000000">
            <w:pPr>
              <w:spacing w:after="0" w:before="120" w:line="240" w:lineRule="auto"/>
              <w:ind/>
              <w:jc w:val="both"/>
              <w:rPr>
                <w:i w:val="1"/>
                <w:color w:val="FF0000"/>
              </w:rPr>
            </w:pPr>
          </w:p>
          <w:p w14:paraId="6C000000">
            <w:pPr>
              <w:spacing w:after="0" w:before="120" w:line="240" w:lineRule="auto"/>
              <w:ind/>
              <w:jc w:val="both"/>
              <w:rPr>
                <w:i w:val="1"/>
                <w:color w:val="FF0000"/>
              </w:rPr>
            </w:pPr>
            <w:r>
              <w:rPr>
                <w:i w:val="1"/>
                <w:color w:val="FF0000"/>
              </w:rPr>
              <w:t xml:space="preserve"> </w:t>
            </w:r>
          </w:p>
          <w:p w14:paraId="6D000000">
            <w:pPr>
              <w:spacing w:after="0" w:line="240" w:lineRule="auto"/>
              <w:ind/>
              <w:jc w:val="both"/>
            </w:pPr>
            <w:r>
              <w:t xml:space="preserve">В соответствии с Федеральным законом от 30.12.2006 №281-ФЗ «О специальных экономических мерах и принудительных мерах» участник закупки не должен являться юридическим или физическим лицом, включенным в перечень, утвержденный постановлением Правительства РФ от 11.05.2022 №851 «О мерах по реализации Указа Президента Российской Федерации от 3 мая 2022 г. №252», в отношении которого применяются специальные экономические меры, предусмотренные </w:t>
            </w:r>
            <w:r>
              <w:t>п.п</w:t>
            </w:r>
            <w:r>
              <w:t xml:space="preserve">. </w:t>
            </w:r>
            <w:r>
              <w:t xml:space="preserve">«а» п. 2 Указа Президента РФ от 03.05.2022 г. № 252, либо являться организацией, находящейся под контролем таких лиц. </w:t>
            </w:r>
          </w:p>
          <w:p w14:paraId="6E000000">
            <w:pPr>
              <w:spacing w:after="0" w:before="120" w:line="240" w:lineRule="auto"/>
              <w:ind/>
              <w:jc w:val="both"/>
            </w:pPr>
            <w:r>
              <w:t>Представление информации или документов, подтверждающих о соответствии участника закупки вышеуказанному требованию, не требуются.</w:t>
            </w:r>
          </w:p>
        </w:tc>
      </w:tr>
      <w:tr>
        <w:trPr>
          <w:trHeight w:hRule="atLeast" w:val="200"/>
          <w:hidden w:val="0"/>
        </w:trPr>
        <w:tc>
          <w:tcPr>
            <w:tcW w:type="dxa" w:w="516"/>
            <w:tcBorders>
              <w:top w:color="000000" w:sz="4" w:val="single"/>
              <w:left w:color="000000" w:sz="4" w:val="single"/>
              <w:bottom w:color="000000" w:sz="4" w:val="single"/>
              <w:right w:color="000000" w:sz="4" w:val="single"/>
            </w:tcBorders>
            <w:shd w:fill="auto" w:val="clear"/>
          </w:tcPr>
          <w:p w14:paraId="6F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70000000">
            <w:pPr>
              <w:spacing w:after="0" w:line="240" w:lineRule="auto"/>
              <w:ind/>
              <w:jc w:val="both"/>
              <w:rPr>
                <w:highlight w:val="white"/>
              </w:rPr>
            </w:pPr>
            <w:r>
              <w:t>Информация по предоставлению национального режима в соответствии с статьей 3.1-4 Закона №223-ФЗ</w:t>
            </w:r>
          </w:p>
        </w:tc>
        <w:tc>
          <w:tcPr>
            <w:tcW w:type="dxa" w:w="7748"/>
            <w:tcBorders>
              <w:top w:color="000000" w:sz="4" w:val="single"/>
              <w:left w:color="000000" w:sz="4" w:val="single"/>
              <w:bottom w:color="000000" w:sz="4" w:val="single"/>
              <w:right w:color="000000" w:sz="4" w:val="single"/>
            </w:tcBorders>
            <w:shd w:fill="auto" w:val="clear"/>
          </w:tcPr>
          <w:p w14:paraId="71000000">
            <w:pPr>
              <w:spacing w:after="0" w:before="120" w:line="240" w:lineRule="auto"/>
              <w:ind/>
              <w:jc w:val="both"/>
              <w:rPr>
                <w:color w:val="0070C0"/>
              </w:rPr>
            </w:pPr>
            <w:r>
              <w:t xml:space="preserve">Установлено </w:t>
            </w:r>
            <w:r>
              <w:rPr>
                <w:b w:val="1"/>
              </w:rPr>
              <w:t>ограничение закупок товаров, происходящих из иностранных государств, выполняемых работ, оказываемых услуг иностранными лицами</w:t>
            </w:r>
            <w:r>
              <w:t>, в соответствии с частью 2 документации.</w:t>
            </w:r>
            <w:bookmarkStart w:id="3" w:name="_GoBack"/>
            <w:bookmarkEnd w:id="3"/>
          </w:p>
        </w:tc>
      </w:tr>
      <w:tr>
        <w:tc>
          <w:tcPr>
            <w:tcW w:type="dxa" w:w="516"/>
            <w:tcBorders>
              <w:top w:color="000000" w:sz="4" w:val="single"/>
              <w:left w:color="000000" w:sz="4" w:val="single"/>
              <w:bottom w:color="000000" w:sz="4" w:val="single"/>
              <w:right w:color="000000" w:sz="4" w:val="single"/>
            </w:tcBorders>
            <w:shd w:fill="auto" w:val="clear"/>
          </w:tcPr>
          <w:p w14:paraId="72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73000000">
            <w:pPr>
              <w:spacing w:after="0" w:line="240" w:lineRule="auto"/>
              <w:ind/>
              <w:jc w:val="both"/>
              <w:rPr>
                <w:highlight w:val="white"/>
              </w:rPr>
            </w:pPr>
            <w:r>
              <w:t>Требования, установленные в соответствии с законодательством РФ к товару, работе, услуге.</w:t>
            </w:r>
          </w:p>
        </w:tc>
        <w:tc>
          <w:tcPr>
            <w:tcW w:type="dxa" w:w="7748"/>
            <w:tcBorders>
              <w:top w:color="000000" w:sz="4" w:val="single"/>
              <w:left w:color="000000" w:sz="4" w:val="single"/>
              <w:bottom w:color="000000" w:sz="4" w:val="single"/>
              <w:right w:color="000000" w:sz="4" w:val="single"/>
            </w:tcBorders>
            <w:shd w:fill="auto" w:val="clear"/>
          </w:tcPr>
          <w:p w14:paraId="74000000">
            <w:pPr>
              <w:spacing w:after="0" w:line="240" w:lineRule="auto"/>
              <w:ind/>
              <w:contextualSpacing w:val="1"/>
              <w:rPr>
                <w:rFonts w:ascii="Times New Roman" w:hAnsi="Times New Roman"/>
                <w:sz w:val="24"/>
              </w:rPr>
            </w:pPr>
            <w:r>
              <w:rPr>
                <w:rFonts w:ascii="Times New Roman" w:hAnsi="Times New Roman"/>
                <w:sz w:val="24"/>
              </w:rPr>
              <w:t xml:space="preserve">Вторая часть заявки на участие </w:t>
            </w:r>
            <w:r>
              <w:rPr>
                <w:rFonts w:ascii="Times New Roman" w:hAnsi="Times New Roman"/>
                <w:sz w:val="24"/>
              </w:rPr>
              <w:t xml:space="preserve">аукционе </w:t>
            </w:r>
            <w:r>
              <w:rPr>
                <w:rFonts w:ascii="Times New Roman" w:hAnsi="Times New Roman"/>
                <w:sz w:val="24"/>
              </w:rPr>
              <w:t>должна содержать</w:t>
            </w:r>
            <w:r>
              <w:rPr>
                <w:rFonts w:ascii="Times New Roman" w:hAnsi="Times New Roman"/>
                <w:sz w:val="24"/>
              </w:rPr>
              <w:t>:</w:t>
            </w:r>
          </w:p>
          <w:p w14:paraId="75000000">
            <w:pPr>
              <w:spacing w:after="0" w:line="240" w:lineRule="auto"/>
              <w:ind/>
              <w:contextualSpacing w:val="1"/>
              <w:rPr>
                <w:rFonts w:ascii="Times New Roman" w:hAnsi="Times New Roman"/>
                <w:sz w:val="24"/>
              </w:rPr>
            </w:pPr>
            <w:r>
              <w:rPr>
                <w:rFonts w:ascii="Times New Roman" w:hAnsi="Times New Roman"/>
                <w:sz w:val="24"/>
              </w:rPr>
              <w:t xml:space="preserve">- </w:t>
            </w:r>
            <w:r>
              <w:rPr>
                <w:rFonts w:ascii="Times New Roman" w:hAnsi="Times New Roman"/>
                <w:sz w:val="24"/>
              </w:rPr>
              <w:t xml:space="preserve">номер </w:t>
            </w:r>
            <w:r>
              <w:rPr>
                <w:rFonts w:ascii="Times New Roman" w:hAnsi="Times New Roman"/>
                <w:sz w:val="24"/>
              </w:rPr>
              <w:t>запис</w:t>
            </w:r>
            <w:r>
              <w:rPr>
                <w:rFonts w:ascii="Times New Roman" w:hAnsi="Times New Roman"/>
                <w:sz w:val="24"/>
              </w:rPr>
              <w:t>и</w:t>
            </w:r>
            <w:r>
              <w:rPr>
                <w:rFonts w:ascii="Times New Roman" w:hAnsi="Times New Roman"/>
                <w:sz w:val="24"/>
              </w:rPr>
              <w:t xml:space="preserve"> в ГРЛС, подтверждающ</w:t>
            </w:r>
            <w:r>
              <w:rPr>
                <w:rFonts w:ascii="Times New Roman" w:hAnsi="Times New Roman"/>
                <w:sz w:val="24"/>
              </w:rPr>
              <w:t xml:space="preserve">ий </w:t>
            </w:r>
            <w:r>
              <w:rPr>
                <w:rFonts w:ascii="Times New Roman" w:hAnsi="Times New Roman"/>
                <w:sz w:val="24"/>
              </w:rPr>
              <w:t>факт государственной регистрации лекарственного препарата (</w:t>
            </w:r>
            <w:r>
              <w:rPr>
                <w:rFonts w:ascii="Times New Roman" w:hAnsi="Times New Roman"/>
                <w:sz w:val="24"/>
              </w:rPr>
              <w:t>фарм.</w:t>
            </w:r>
            <w:r>
              <w:rPr>
                <w:rFonts w:ascii="Times New Roman" w:hAnsi="Times New Roman"/>
                <w:sz w:val="24"/>
              </w:rPr>
              <w:t xml:space="preserve"> субстанции), и (или) </w:t>
            </w:r>
            <w:r>
              <w:rPr>
                <w:rFonts w:ascii="Times New Roman" w:hAnsi="Times New Roman"/>
                <w:sz w:val="24"/>
              </w:rPr>
              <w:t>выписки ГРЛС (копии)</w:t>
            </w:r>
            <w:r>
              <w:rPr>
                <w:rFonts w:ascii="Times New Roman" w:hAnsi="Times New Roman"/>
                <w:sz w:val="24"/>
              </w:rPr>
              <w:t>, подтверждающ</w:t>
            </w:r>
            <w:r>
              <w:rPr>
                <w:rFonts w:ascii="Times New Roman" w:hAnsi="Times New Roman"/>
                <w:sz w:val="24"/>
              </w:rPr>
              <w:t>е</w:t>
            </w:r>
            <w:r>
              <w:rPr>
                <w:rFonts w:ascii="Times New Roman" w:hAnsi="Times New Roman"/>
                <w:sz w:val="24"/>
              </w:rPr>
              <w:t>й факт государственной регистрации (регистрации) лекарственного препарата (</w:t>
            </w:r>
            <w:r>
              <w:rPr>
                <w:rFonts w:ascii="Times New Roman" w:hAnsi="Times New Roman"/>
                <w:sz w:val="24"/>
              </w:rPr>
              <w:t>фарм.</w:t>
            </w:r>
            <w:r>
              <w:rPr>
                <w:rFonts w:ascii="Times New Roman" w:hAnsi="Times New Roman"/>
                <w:sz w:val="24"/>
              </w:rPr>
              <w:t xml:space="preserve"> субстанции); </w:t>
            </w:r>
          </w:p>
          <w:p w14:paraId="76000000">
            <w:pPr>
              <w:spacing w:after="0" w:line="240" w:lineRule="auto"/>
              <w:ind/>
              <w:contextualSpacing w:val="1"/>
              <w:rPr>
                <w:rFonts w:ascii="Times New Roman" w:hAnsi="Times New Roman"/>
                <w:b w:val="1"/>
                <w:sz w:val="24"/>
              </w:rPr>
            </w:pPr>
            <w:r>
              <w:rPr>
                <w:rFonts w:ascii="Times New Roman" w:hAnsi="Times New Roman"/>
                <w:b w:val="1"/>
                <w:sz w:val="24"/>
              </w:rPr>
              <w:t xml:space="preserve">ИЛИ </w:t>
            </w:r>
          </w:p>
          <w:p w14:paraId="77000000">
            <w:pPr>
              <w:spacing w:after="0" w:line="240" w:lineRule="auto"/>
              <w:ind/>
              <w:contextualSpacing w:val="1"/>
              <w:rPr>
                <w:rFonts w:ascii="Times New Roman" w:hAnsi="Times New Roman"/>
                <w:sz w:val="24"/>
              </w:rPr>
            </w:pPr>
            <w:r>
              <w:rPr>
                <w:rFonts w:ascii="Times New Roman" w:hAnsi="Times New Roman"/>
                <w:sz w:val="24"/>
              </w:rPr>
              <w:t>-копии действующих регистрационных удостоверений лекарственных препаратов / фармацевтических субстанций для медицинского применения.</w:t>
            </w:r>
          </w:p>
        </w:tc>
      </w:tr>
      <w:tr>
        <w:tc>
          <w:tcPr>
            <w:tcW w:type="dxa" w:w="516"/>
            <w:tcBorders>
              <w:top w:color="000000" w:sz="4" w:val="single"/>
              <w:left w:color="000000" w:sz="4" w:val="single"/>
              <w:bottom w:color="000000" w:sz="4" w:val="single"/>
              <w:right w:color="000000" w:sz="4" w:val="single"/>
            </w:tcBorders>
            <w:shd w:fill="auto" w:val="clear"/>
          </w:tcPr>
          <w:p w14:paraId="78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79000000">
            <w:pPr>
              <w:spacing w:after="0" w:line="240" w:lineRule="auto"/>
              <w:ind/>
              <w:jc w:val="both"/>
            </w:pPr>
            <w:r>
              <w:rPr>
                <w:highlight w:val="white"/>
              </w:rPr>
              <w:t>Форма, порядок, дата и время окончания срока предоставления участникам закупки разъяснений положений документации о закупке.</w:t>
            </w:r>
          </w:p>
        </w:tc>
        <w:tc>
          <w:tcPr>
            <w:tcW w:type="dxa" w:w="7748"/>
            <w:tcBorders>
              <w:top w:color="000000" w:sz="4" w:val="single"/>
              <w:left w:color="000000" w:sz="4" w:val="single"/>
              <w:bottom w:color="000000" w:sz="4" w:val="single"/>
              <w:right w:color="000000" w:sz="4" w:val="single"/>
            </w:tcBorders>
            <w:shd w:fill="auto" w:val="clear"/>
          </w:tcPr>
          <w:p w14:paraId="7A000000">
            <w:pPr>
              <w:spacing w:after="0" w:before="120" w:line="240" w:lineRule="auto"/>
              <w:ind/>
              <w:jc w:val="both"/>
            </w:pPr>
            <w:r>
              <w:t>Дата и время окончания срока предоставления разъяснений:</w:t>
            </w:r>
          </w:p>
          <w:p w14:paraId="7B000000">
            <w:pPr>
              <w:spacing w:after="0" w:before="120" w:line="240" w:lineRule="auto"/>
              <w:ind/>
              <w:jc w:val="both"/>
              <w:rPr>
                <w:highlight w:val="white"/>
              </w:rPr>
            </w:pPr>
            <w:r>
              <w:t>15.12.2025</w:t>
            </w:r>
            <w:r>
              <w:t xml:space="preserve"> </w:t>
            </w:r>
            <w:r>
              <w:t>года</w:t>
            </w:r>
            <w:r>
              <w:t xml:space="preserve"> </w:t>
            </w:r>
            <w:r>
              <w:t>в</w:t>
            </w:r>
            <w:r>
              <w:t xml:space="preserve"> </w:t>
            </w:r>
            <w:r>
              <w:t>11</w:t>
            </w:r>
            <w:r>
              <w:t>:</w:t>
            </w:r>
            <w:r>
              <w:t>00</w:t>
            </w:r>
            <w:r>
              <w:t>:</w:t>
            </w:r>
            <w:r>
              <w:t>00</w:t>
            </w:r>
            <w:r>
              <w:t xml:space="preserve"> </w:t>
            </w:r>
            <w:r>
              <w:t>ч</w:t>
            </w:r>
            <w:r>
              <w:t>.</w:t>
            </w:r>
          </w:p>
          <w:p w14:paraId="7C000000">
            <w:pPr>
              <w:spacing w:after="0" w:line="240" w:lineRule="auto"/>
              <w:ind/>
              <w:jc w:val="both"/>
              <w:rPr>
                <w:highlight w:val="white"/>
              </w:rPr>
            </w:pPr>
          </w:p>
          <w:p w14:paraId="7D000000">
            <w:pPr>
              <w:spacing w:after="0" w:line="240" w:lineRule="auto"/>
              <w:ind/>
              <w:jc w:val="both"/>
              <w:rPr>
                <w:highlight w:val="white"/>
              </w:rPr>
            </w:pPr>
            <w:r>
              <w:rPr>
                <w:highlight w:val="white"/>
              </w:rPr>
              <w:t xml:space="preserve">В </w:t>
            </w:r>
            <w:r>
              <w:rPr>
                <w:highlight w:val="white"/>
              </w:rPr>
              <w:t xml:space="preserve">течение трех рабочих дней с даты поступления запроса о даче разъяснений положений документации, заказчик осуществляет разъяснение положений документации и размещает их в ЕИС с указанием предмета запроса, но без указания участника такой закупки, от которого поступил указанный запрос. </w:t>
            </w:r>
          </w:p>
          <w:p w14:paraId="7E000000">
            <w:pPr>
              <w:spacing w:after="0" w:line="240" w:lineRule="auto"/>
              <w:ind/>
              <w:jc w:val="both"/>
            </w:pPr>
            <w:r>
              <w:rPr>
                <w:highlight w:val="white"/>
              </w:rPr>
              <w:t>При этом заказчик вправе</w:t>
            </w:r>
            <w:r>
              <w:rPr>
                <w:highlight w:val="white"/>
              </w:rPr>
              <w:t xml:space="preserve">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w:t>
            </w:r>
          </w:p>
        </w:tc>
      </w:tr>
      <w:tr>
        <w:tc>
          <w:tcPr>
            <w:tcW w:type="dxa" w:w="516"/>
            <w:tcBorders>
              <w:top w:color="000000" w:sz="4" w:val="single"/>
              <w:left w:color="000000" w:sz="4" w:val="single"/>
              <w:bottom w:color="000000" w:sz="4" w:val="single"/>
              <w:right w:color="000000" w:sz="4" w:val="single"/>
            </w:tcBorders>
            <w:shd w:fill="auto" w:val="clear"/>
          </w:tcPr>
          <w:p w14:paraId="7F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80000000">
            <w:pPr>
              <w:spacing w:after="0" w:line="240" w:lineRule="auto"/>
              <w:ind/>
              <w:jc w:val="both"/>
            </w:pPr>
            <w:r>
              <w:t>Д</w:t>
            </w:r>
            <w:r>
              <w:t>ата начала, дата и время окончания срока подачи заявок на участие в закупке</w:t>
            </w:r>
            <w:r>
              <w:t>.</w:t>
            </w:r>
          </w:p>
        </w:tc>
        <w:tc>
          <w:tcPr>
            <w:tcW w:type="dxa" w:w="7748"/>
            <w:tcBorders>
              <w:top w:color="000000" w:sz="4" w:val="single"/>
              <w:left w:color="000000" w:sz="4" w:val="single"/>
              <w:bottom w:color="000000" w:sz="4" w:val="single"/>
              <w:right w:color="000000" w:sz="4" w:val="single"/>
            </w:tcBorders>
            <w:shd w:fill="auto" w:val="clear"/>
          </w:tcPr>
          <w:p w14:paraId="81000000">
            <w:pPr>
              <w:spacing w:after="0" w:before="120" w:line="240" w:lineRule="auto"/>
              <w:ind/>
              <w:jc w:val="both"/>
            </w:pPr>
            <w:r>
              <w:t xml:space="preserve">Дата </w:t>
            </w:r>
            <w:r>
              <w:t>начала подачи заявок: с даты размещения извещения в ЕИС</w:t>
            </w:r>
          </w:p>
          <w:p w14:paraId="82000000">
            <w:pPr>
              <w:spacing w:after="0" w:before="120" w:line="240" w:lineRule="auto"/>
              <w:ind/>
              <w:jc w:val="both"/>
            </w:pPr>
            <w:r>
              <w:t>Дата и время окончания срока подачи заявок:</w:t>
            </w:r>
          </w:p>
          <w:p w14:paraId="83000000">
            <w:pPr>
              <w:spacing w:after="0" w:line="240" w:lineRule="auto"/>
              <w:ind/>
              <w:contextualSpacing w:val="1"/>
              <w:jc w:val="both"/>
            </w:pPr>
            <w:r>
              <w:t>16.12.2025</w:t>
            </w:r>
            <w:r>
              <w:t xml:space="preserve"> </w:t>
            </w:r>
            <w:r>
              <w:t>года</w:t>
            </w:r>
            <w:r>
              <w:t xml:space="preserve"> </w:t>
            </w:r>
            <w:r>
              <w:t>в</w:t>
            </w:r>
            <w:r>
              <w:t> </w:t>
            </w:r>
            <w:r>
              <w:t>11:00:00</w:t>
            </w:r>
            <w:r>
              <w:t xml:space="preserve"> </w:t>
            </w:r>
            <w:r>
              <w:t>ч</w:t>
            </w:r>
            <w:r>
              <w:t>.</w:t>
            </w:r>
            <w:r>
              <w:t xml:space="preserve">  </w:t>
            </w:r>
          </w:p>
        </w:tc>
      </w:tr>
      <w:tr>
        <w:tc>
          <w:tcPr>
            <w:tcW w:type="dxa" w:w="516"/>
            <w:tcBorders>
              <w:top w:color="000000" w:sz="4" w:val="single"/>
              <w:left w:color="000000" w:sz="4" w:val="single"/>
              <w:bottom w:color="000000" w:sz="4" w:val="single"/>
              <w:right w:color="000000" w:sz="4" w:val="single"/>
            </w:tcBorders>
            <w:shd w:fill="auto" w:val="clear"/>
          </w:tcPr>
          <w:p w14:paraId="84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tcPr>
          <w:p w14:paraId="85000000">
            <w:pPr>
              <w:spacing w:after="0" w:line="240" w:lineRule="auto"/>
              <w:ind/>
              <w:jc w:val="both"/>
            </w:pPr>
            <w:r>
              <w:t xml:space="preserve">Место подачи заявок </w:t>
            </w:r>
            <w:r>
              <w:rPr>
                <w:i w:val="1"/>
              </w:rPr>
              <w:t>(адрес электронной площадки в информационно-телекоммуникационной сети «Интернет»).</w:t>
            </w:r>
          </w:p>
        </w:tc>
        <w:tc>
          <w:tcPr>
            <w:tcW w:type="dxa" w:w="7748"/>
            <w:tcBorders>
              <w:top w:color="000000" w:sz="4" w:val="single"/>
              <w:left w:color="000000" w:sz="4" w:val="single"/>
              <w:bottom w:color="000000" w:sz="4" w:val="single"/>
              <w:right w:color="000000" w:sz="4" w:val="single"/>
            </w:tcBorders>
          </w:tcPr>
          <w:p w14:paraId="86000000">
            <w:pPr>
              <w:ind/>
              <w:jc w:val="both"/>
            </w:pPr>
            <w:r>
              <w:t>АКЦИОНЕРНОЕ ОБЩЕСТВО ''ТЭК-ТОРГ''</w:t>
            </w:r>
            <w:r>
              <w:t xml:space="preserve"> (http://www.tektorg.ru)</w:t>
            </w:r>
          </w:p>
          <w:p w14:paraId="87000000">
            <w:pPr>
              <w:spacing w:after="0" w:line="240" w:lineRule="auto"/>
              <w:ind/>
              <w:contextualSpacing w:val="1"/>
              <w:jc w:val="both"/>
            </w:pPr>
            <w:r>
              <w:t>Документация доступна для</w:t>
            </w:r>
            <w:r>
              <w:t xml:space="preserve"> ознакомления в единой информационной системе, на электронной торговой площадке с момента ее опубликования без ограничений</w:t>
            </w:r>
          </w:p>
        </w:tc>
      </w:tr>
      <w:tr>
        <w:tc>
          <w:tcPr>
            <w:tcW w:type="dxa" w:w="516"/>
            <w:tcBorders>
              <w:top w:color="000000" w:sz="4" w:val="single"/>
              <w:left w:color="000000" w:sz="4" w:val="single"/>
              <w:bottom w:color="000000" w:sz="4" w:val="single"/>
              <w:right w:color="000000" w:sz="4" w:val="single"/>
            </w:tcBorders>
            <w:shd w:fill="auto" w:val="clear"/>
          </w:tcPr>
          <w:p w14:paraId="88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89000000">
            <w:pPr>
              <w:spacing w:after="0" w:line="240" w:lineRule="auto"/>
              <w:ind/>
              <w:jc w:val="both"/>
            </w:pPr>
            <w:r>
              <w:t>Порядок подачи заявок на участие в закупке</w:t>
            </w:r>
            <w:r>
              <w:t xml:space="preserve">, требования к описанию участниками такой закупки поставляемого товара, который является предметом конкурентной закупки, его функциональных характеристик (потребительских свойств), его количественных и качественных характеристик, требования к описанию участниками такой закупки выполняемой работы, оказываемой услуги, которые являются предметом конкурентной закупки, их количественных и качественных характеристик </w:t>
            </w:r>
          </w:p>
        </w:tc>
        <w:tc>
          <w:tcPr>
            <w:tcW w:type="dxa" w:w="7748"/>
            <w:tcBorders>
              <w:top w:color="000000" w:sz="4" w:val="single"/>
              <w:left w:color="000000" w:sz="4" w:val="single"/>
              <w:bottom w:color="000000" w:sz="4" w:val="single"/>
              <w:right w:color="000000" w:sz="4" w:val="single"/>
            </w:tcBorders>
            <w:shd w:fill="auto" w:val="clear"/>
          </w:tcPr>
          <w:p w14:paraId="8A000000">
            <w:pPr>
              <w:spacing w:after="0" w:line="240" w:lineRule="auto"/>
              <w:ind/>
              <w:contextualSpacing w:val="1"/>
              <w:jc w:val="both"/>
            </w:pPr>
            <w:r>
              <w:t xml:space="preserve">В соответствии с частью </w:t>
            </w:r>
            <w:r>
              <w:t>2</w:t>
            </w:r>
            <w:r>
              <w:t xml:space="preserve"> </w:t>
            </w:r>
            <w:r>
              <w:t>документации</w:t>
            </w:r>
            <w:r>
              <w:t>.</w:t>
            </w:r>
            <w:r>
              <w:t xml:space="preserve"> </w:t>
            </w:r>
          </w:p>
        </w:tc>
      </w:tr>
      <w:tr>
        <w:tc>
          <w:tcPr>
            <w:tcW w:type="dxa" w:w="516"/>
            <w:tcBorders>
              <w:top w:color="000000" w:sz="4" w:val="single"/>
              <w:left w:color="000000" w:sz="4" w:val="single"/>
              <w:bottom w:color="000000" w:sz="4" w:val="single"/>
              <w:right w:color="000000" w:sz="4" w:val="single"/>
            </w:tcBorders>
            <w:shd w:fill="auto" w:val="clear"/>
          </w:tcPr>
          <w:p w14:paraId="8B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8C000000">
            <w:pPr>
              <w:spacing w:after="0" w:line="240" w:lineRule="auto"/>
              <w:ind/>
              <w:jc w:val="both"/>
            </w:pPr>
            <w:r>
              <w:t>Требования к содержанию, форме, оформлению и составу заявки на участие в закупке</w:t>
            </w:r>
          </w:p>
        </w:tc>
        <w:tc>
          <w:tcPr>
            <w:tcW w:type="dxa" w:w="7748"/>
            <w:tcBorders>
              <w:top w:color="000000" w:sz="4" w:val="single"/>
              <w:left w:color="000000" w:sz="4" w:val="single"/>
              <w:bottom w:color="000000" w:sz="4" w:val="single"/>
              <w:right w:color="000000" w:sz="4" w:val="single"/>
            </w:tcBorders>
            <w:shd w:fill="auto" w:val="clear"/>
          </w:tcPr>
          <w:p w14:paraId="8D000000">
            <w:pPr>
              <w:spacing w:after="0" w:line="240" w:lineRule="auto"/>
              <w:ind/>
              <w:contextualSpacing w:val="1"/>
              <w:jc w:val="both"/>
            </w:pPr>
            <w:r>
              <w:t xml:space="preserve">В соответствии с частью </w:t>
            </w:r>
            <w:r>
              <w:t>2 документации</w:t>
            </w:r>
            <w:r>
              <w:t>.</w:t>
            </w:r>
          </w:p>
        </w:tc>
      </w:tr>
      <w:tr>
        <w:tc>
          <w:tcPr>
            <w:tcW w:type="dxa" w:w="516"/>
            <w:tcBorders>
              <w:top w:color="000000" w:sz="4" w:val="single"/>
              <w:left w:color="000000" w:sz="4" w:val="single"/>
              <w:bottom w:color="000000" w:sz="4" w:val="single"/>
              <w:right w:color="000000" w:sz="4" w:val="single"/>
            </w:tcBorders>
            <w:shd w:fill="auto" w:val="clear"/>
          </w:tcPr>
          <w:p w14:paraId="8E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8F000000">
            <w:pPr>
              <w:spacing w:after="0" w:line="240" w:lineRule="auto"/>
              <w:ind/>
              <w:jc w:val="both"/>
            </w:pPr>
            <w:r>
              <w:t>Дата окончания срока рассмотрения первых частей заявок на участие в аукционе.</w:t>
            </w:r>
          </w:p>
        </w:tc>
        <w:tc>
          <w:tcPr>
            <w:tcW w:type="dxa" w:w="7748"/>
            <w:tcBorders>
              <w:top w:color="000000" w:sz="4" w:val="single"/>
              <w:left w:color="000000" w:sz="4" w:val="single"/>
              <w:bottom w:color="000000" w:sz="4" w:val="single"/>
              <w:right w:color="000000" w:sz="4" w:val="single"/>
            </w:tcBorders>
            <w:shd w:fill="auto" w:val="clear"/>
          </w:tcPr>
          <w:p w14:paraId="90000000">
            <w:pPr>
              <w:spacing w:after="120" w:before="120" w:line="240" w:lineRule="auto"/>
              <w:ind/>
              <w:jc w:val="both"/>
            </w:pPr>
            <w:r>
              <w:t>19.12.2025</w:t>
            </w:r>
            <w:r>
              <w:t xml:space="preserve"> </w:t>
            </w:r>
            <w:r>
              <w:t>года</w:t>
            </w:r>
          </w:p>
        </w:tc>
      </w:tr>
      <w:tr>
        <w:tc>
          <w:tcPr>
            <w:tcW w:type="dxa" w:w="516"/>
            <w:tcBorders>
              <w:top w:color="000000" w:sz="4" w:val="single"/>
              <w:left w:color="000000" w:sz="4" w:val="single"/>
              <w:bottom w:color="000000" w:sz="4" w:val="single"/>
              <w:right w:color="000000" w:sz="4" w:val="single"/>
            </w:tcBorders>
            <w:shd w:fill="auto" w:val="clear"/>
          </w:tcPr>
          <w:p w14:paraId="91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92000000">
            <w:pPr>
              <w:spacing w:after="0" w:line="240" w:lineRule="auto"/>
              <w:ind/>
              <w:jc w:val="both"/>
            </w:pPr>
            <w:r>
              <w:t>Дата проведения аукциона (в случае, если дата проведения такого аукциона приходится на нерабочий день, день проведения такого аукциона переносится на следующий за ним рабочий день).</w:t>
            </w:r>
          </w:p>
        </w:tc>
        <w:tc>
          <w:tcPr>
            <w:tcW w:type="dxa" w:w="7748"/>
            <w:tcBorders>
              <w:top w:color="000000" w:sz="4" w:val="single"/>
              <w:left w:color="000000" w:sz="4" w:val="single"/>
              <w:bottom w:color="000000" w:sz="4" w:val="single"/>
              <w:right w:color="000000" w:sz="4" w:val="single"/>
            </w:tcBorders>
            <w:shd w:fill="auto" w:val="clear"/>
          </w:tcPr>
          <w:p w14:paraId="93000000">
            <w:pPr>
              <w:spacing w:after="120" w:before="120" w:line="240" w:lineRule="auto"/>
              <w:ind/>
              <w:jc w:val="both"/>
            </w:pPr>
            <w:r>
              <w:t>22.12.2025</w:t>
            </w:r>
            <w:r>
              <w:t xml:space="preserve"> года</w:t>
            </w:r>
          </w:p>
        </w:tc>
      </w:tr>
      <w:tr>
        <w:tc>
          <w:tcPr>
            <w:tcW w:type="dxa" w:w="516"/>
            <w:tcBorders>
              <w:top w:color="000000" w:sz="4" w:val="single"/>
              <w:left w:color="000000" w:sz="4" w:val="single"/>
              <w:bottom w:color="000000" w:sz="4" w:val="single"/>
              <w:right w:color="000000" w:sz="4" w:val="single"/>
            </w:tcBorders>
            <w:shd w:fill="auto" w:val="clear"/>
          </w:tcPr>
          <w:p w14:paraId="94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95000000">
            <w:pPr>
              <w:spacing w:after="0" w:line="240" w:lineRule="auto"/>
              <w:ind/>
              <w:jc w:val="both"/>
            </w:pPr>
            <w:r>
              <w:t>Дата подведения итогов закупки.</w:t>
            </w:r>
          </w:p>
        </w:tc>
        <w:tc>
          <w:tcPr>
            <w:tcW w:type="dxa" w:w="7748"/>
            <w:tcBorders>
              <w:top w:color="000000" w:sz="4" w:val="single"/>
              <w:left w:color="000000" w:sz="4" w:val="single"/>
              <w:bottom w:color="000000" w:sz="4" w:val="single"/>
              <w:right w:color="000000" w:sz="4" w:val="single"/>
            </w:tcBorders>
            <w:shd w:fill="auto" w:val="clear"/>
          </w:tcPr>
          <w:p w14:paraId="96000000">
            <w:pPr>
              <w:spacing w:after="120" w:before="120" w:line="240" w:lineRule="auto"/>
              <w:ind/>
              <w:jc w:val="both"/>
            </w:pPr>
            <w:r>
              <w:t>25.12.2025</w:t>
            </w:r>
            <w:r>
              <w:t xml:space="preserve"> </w:t>
            </w:r>
            <w:r>
              <w:t>года</w:t>
            </w:r>
          </w:p>
        </w:tc>
      </w:tr>
      <w:tr>
        <w:tc>
          <w:tcPr>
            <w:tcW w:type="dxa" w:w="516"/>
            <w:tcBorders>
              <w:top w:color="000000" w:sz="4" w:val="single"/>
              <w:left w:color="000000" w:sz="4" w:val="single"/>
              <w:bottom w:color="000000" w:sz="4" w:val="single"/>
              <w:right w:color="000000" w:sz="4" w:val="single"/>
            </w:tcBorders>
            <w:shd w:fill="auto" w:val="clear"/>
          </w:tcPr>
          <w:p w14:paraId="97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98000000">
            <w:pPr>
              <w:spacing w:after="0" w:line="240" w:lineRule="auto"/>
              <w:ind/>
              <w:jc w:val="both"/>
            </w:pPr>
            <w:r>
              <w:t xml:space="preserve">Информация о заказчике: </w:t>
            </w:r>
          </w:p>
          <w:p w14:paraId="99000000">
            <w:pPr>
              <w:spacing w:after="0" w:line="240" w:lineRule="auto"/>
              <w:ind/>
              <w:jc w:val="both"/>
            </w:pPr>
            <w:r>
              <w:rPr>
                <w:i w:val="1"/>
              </w:rPr>
              <w:t xml:space="preserve">наименование, </w:t>
            </w:r>
            <w:r>
              <w:rPr>
                <w:i w:val="1"/>
              </w:rPr>
              <w:t>место нахождения, почтовый адрес, адрес электронной почты, номер контактного телефона</w:t>
            </w:r>
            <w:r>
              <w:t>.</w:t>
            </w:r>
          </w:p>
        </w:tc>
        <w:tc>
          <w:tcPr>
            <w:tcW w:type="dxa" w:w="7748"/>
            <w:tcBorders>
              <w:top w:color="000000" w:sz="4" w:val="single"/>
              <w:left w:color="000000" w:sz="4" w:val="single"/>
              <w:bottom w:color="000000" w:sz="4" w:val="single"/>
              <w:right w:color="000000" w:sz="4" w:val="single"/>
            </w:tcBorders>
            <w:shd w:fill="auto" w:val="clear"/>
          </w:tcPr>
          <w:p w14:paraId="9A000000">
            <w:pPr>
              <w:ind/>
              <w:jc w:val="both"/>
            </w:pPr>
            <w:r>
              <w:t>ГОСУДАРСТВЕННОЕ АВТОНОМНОЕ</w:t>
            </w:r>
            <w:r>
              <w:t xml:space="preserve"> УЧРЕЖДЕНИЕ РЕСПУБЛИКИ САХА (ЯКУТИЯ) ''РЕСПУБЛИКАНСКАЯ БОЛЬНИЦА №1 - НАЦИОНАЛЬНЫЙ ЦЕНТР МЕДИЦИНЫ ИМЕНИ М.Е. НИКОЛАЕВА''</w:t>
            </w:r>
          </w:p>
          <w:p w14:paraId="9B000000">
            <w:pPr>
              <w:spacing w:after="0" w:line="240" w:lineRule="auto"/>
              <w:ind/>
              <w:jc w:val="both"/>
            </w:pPr>
            <w:r>
              <w:t>677010, РЕСПУБЛИКА</w:t>
            </w:r>
            <w:r>
              <w:t xml:space="preserve"> САХА (ЯКУТИЯ), г.о. ГОРОД ЯКУТСК, Г ЯКУТСК, Ш СЕРГЕЛЯХСКОЕ, Д. 4</w:t>
            </w:r>
            <w:r>
              <w:t xml:space="preserve">, </w:t>
            </w:r>
            <w:r>
              <w:t>677010, строение</w:t>
            </w:r>
            <w:r>
              <w:t xml:space="preserve"> 4</w:t>
            </w:r>
            <w:r>
              <w:t xml:space="preserve">, </w:t>
            </w:r>
            <w:r>
              <w:t>zakazncm@mail</w:t>
            </w:r>
            <w:r>
              <w:t>.ru</w:t>
            </w:r>
            <w:r>
              <w:t xml:space="preserve">, </w:t>
            </w:r>
            <w:r>
              <w:t>7-4112-395001</w:t>
            </w:r>
          </w:p>
        </w:tc>
      </w:tr>
      <w:tr>
        <w:tc>
          <w:tcPr>
            <w:tcW w:type="dxa" w:w="516"/>
            <w:tcBorders>
              <w:top w:color="000000" w:sz="4" w:val="single"/>
              <w:left w:color="000000" w:sz="4" w:val="single"/>
              <w:bottom w:color="000000" w:sz="4" w:val="single"/>
              <w:right w:color="000000" w:sz="4" w:val="single"/>
            </w:tcBorders>
            <w:shd w:fill="auto" w:val="clear"/>
          </w:tcPr>
          <w:p w14:paraId="9C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9D000000">
            <w:pPr>
              <w:ind/>
              <w:jc w:val="both"/>
              <w:rPr>
                <w:i w:val="1"/>
              </w:rPr>
            </w:pPr>
            <w:r>
              <w:t>Контактное лицо заказчика.</w:t>
            </w:r>
            <w:r>
              <w:rPr>
                <w:i w:val="1"/>
              </w:rPr>
              <w:t xml:space="preserve"> </w:t>
            </w:r>
          </w:p>
          <w:p w14:paraId="9E000000">
            <w:pPr>
              <w:ind/>
              <w:jc w:val="both"/>
            </w:pPr>
            <w:r>
              <w:rPr>
                <w:i w:val="1"/>
              </w:rPr>
              <w:t>ФИО, телефон, электронная почта</w:t>
            </w:r>
          </w:p>
        </w:tc>
        <w:tc>
          <w:tcPr>
            <w:tcW w:type="dxa" w:w="7748"/>
            <w:tcBorders>
              <w:top w:color="000000" w:sz="4" w:val="single"/>
              <w:left w:color="000000" w:sz="4" w:val="single"/>
              <w:bottom w:color="000000" w:sz="4" w:val="single"/>
              <w:right w:color="000000" w:sz="4" w:val="single"/>
            </w:tcBorders>
            <w:shd w:fill="auto" w:val="clear"/>
          </w:tcPr>
          <w:p w14:paraId="9F000000">
            <w:pPr>
              <w:spacing w:after="0" w:line="240" w:lineRule="auto"/>
              <w:ind/>
              <w:jc w:val="both"/>
            </w:pPr>
            <w:r>
              <w:t>Алфёров Александр</w:t>
            </w:r>
            <w:r>
              <w:t xml:space="preserve"> Николаевич</w:t>
            </w:r>
            <w:r>
              <w:t xml:space="preserve">, </w:t>
            </w:r>
            <w:r>
              <w:t>8-4112-395886</w:t>
            </w:r>
            <w:r>
              <w:t xml:space="preserve">, </w:t>
            </w:r>
            <w:r>
              <w:t>zakazncm@mail</w:t>
            </w:r>
            <w:r>
              <w:t>.ru</w:t>
            </w:r>
          </w:p>
        </w:tc>
      </w:tr>
      <w:tr>
        <w:tc>
          <w:tcPr>
            <w:tcW w:type="dxa" w:w="516"/>
            <w:tcBorders>
              <w:top w:color="000000" w:sz="4" w:val="single"/>
              <w:left w:color="000000" w:sz="4" w:val="single"/>
              <w:bottom w:color="000000" w:sz="4" w:val="single"/>
              <w:right w:color="000000" w:sz="4" w:val="single"/>
            </w:tcBorders>
            <w:shd w:fill="auto" w:val="clear"/>
          </w:tcPr>
          <w:p w14:paraId="A0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A1000000">
            <w:pPr>
              <w:spacing w:after="0" w:line="240" w:lineRule="auto"/>
              <w:ind/>
              <w:jc w:val="both"/>
            </w:pPr>
            <w:r>
              <w:t>Банковские реквизиты счета заказчика, на котором в соответствии с законодательством РФ учитываются операции со средствами, поступающими заказчику.</w:t>
            </w:r>
          </w:p>
        </w:tc>
        <w:tc>
          <w:tcPr>
            <w:tcW w:type="dxa" w:w="7748"/>
            <w:tcBorders>
              <w:top w:color="000000" w:sz="4" w:val="single"/>
              <w:left w:color="000000" w:sz="4" w:val="single"/>
              <w:bottom w:color="000000" w:sz="4" w:val="single"/>
              <w:right w:color="000000" w:sz="4" w:val="single"/>
            </w:tcBorders>
            <w:shd w:fill="auto" w:val="clear"/>
          </w:tcPr>
          <w:p w14:paraId="A2000000">
            <w:pPr>
              <w:spacing w:after="0"/>
              <w:ind/>
              <w:jc w:val="both"/>
            </w:pPr>
            <w:r>
              <w:t>ГОСУДАРСТВЕННОЕ АВТОНОМНОЕ УЧРЕЖДЕНИЕ РЕСПУБЛИКИ</w:t>
            </w:r>
            <w:r>
              <w:t xml:space="preserve"> САХА (ЯКУТИЯ) ''РЕСПУБЛИКАНСКАЯ БОЛЬНИЦА №1 - НАЦИОНАЛЬНЫЙ ЦЕНТР МЕДИЦИНЫ ИМЕНИ М.Е. НИКОЛАЕВА''</w:t>
            </w:r>
          </w:p>
          <w:p w14:paraId="A3000000">
            <w:pPr>
              <w:spacing w:after="0"/>
              <w:ind/>
              <w:jc w:val="both"/>
            </w:pPr>
            <w:r>
              <w:t xml:space="preserve">ИНН: </w:t>
            </w:r>
            <w:r>
              <w:t>1435099188</w:t>
            </w:r>
          </w:p>
          <w:p w14:paraId="A4000000">
            <w:pPr>
              <w:spacing w:after="0"/>
              <w:ind/>
              <w:jc w:val="both"/>
            </w:pPr>
            <w:r>
              <w:t xml:space="preserve">БИК: </w:t>
            </w:r>
            <w:r>
              <w:t>019805001</w:t>
            </w:r>
          </w:p>
          <w:p w14:paraId="A5000000">
            <w:pPr>
              <w:spacing w:after="0"/>
              <w:ind/>
              <w:jc w:val="both"/>
            </w:pPr>
            <w:r>
              <w:t xml:space="preserve">Расчетный счет: </w:t>
            </w:r>
            <w:r>
              <w:t>03224643980000001601</w:t>
            </w:r>
          </w:p>
          <w:p w14:paraId="A6000000">
            <w:pPr>
              <w:spacing w:after="0" w:line="240" w:lineRule="auto"/>
              <w:ind/>
              <w:jc w:val="both"/>
            </w:pPr>
            <w:r>
              <w:t xml:space="preserve">Лицевой счет: </w:t>
            </w:r>
            <w:r>
              <w:t>30054035069</w:t>
            </w:r>
          </w:p>
        </w:tc>
      </w:tr>
      <w:tr>
        <w:tc>
          <w:tcPr>
            <w:tcW w:type="dxa" w:w="516"/>
            <w:tcBorders>
              <w:top w:color="000000" w:sz="4" w:val="single"/>
              <w:left w:color="000000" w:sz="4" w:val="single"/>
              <w:bottom w:color="000000" w:sz="4" w:val="single"/>
              <w:right w:color="000000" w:sz="4" w:val="single"/>
            </w:tcBorders>
            <w:shd w:fill="auto" w:val="clear"/>
          </w:tcPr>
          <w:p w14:paraId="A7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A8000000">
            <w:pPr>
              <w:spacing w:after="0" w:line="240" w:lineRule="auto"/>
              <w:ind/>
              <w:jc w:val="both"/>
            </w:pPr>
            <w:r>
              <w:t>Источник финансирования.</w:t>
            </w:r>
          </w:p>
        </w:tc>
        <w:tc>
          <w:tcPr>
            <w:tcW w:type="dxa" w:w="7748"/>
            <w:tcBorders>
              <w:top w:color="000000" w:sz="4" w:val="single"/>
              <w:left w:color="000000" w:sz="4" w:val="single"/>
              <w:bottom w:color="000000" w:sz="4" w:val="single"/>
              <w:right w:color="000000" w:sz="4" w:val="single"/>
            </w:tcBorders>
            <w:shd w:fill="auto" w:val="clear"/>
          </w:tcPr>
          <w:p w14:paraId="A9000000">
            <w:pPr>
              <w:spacing w:afterAutospacing="on" w:beforeAutospacing="on" w:line="240" w:lineRule="auto"/>
              <w:ind/>
              <w:jc w:val="both"/>
            </w:pPr>
            <w:r>
              <w:t xml:space="preserve">Средства, полученные </w:t>
            </w:r>
            <w:r>
              <w:t>на оказание и оплату медицинской помощи по обязательному медицинскому страхованию.</w:t>
            </w:r>
          </w:p>
        </w:tc>
      </w:tr>
      <w:tr>
        <w:tc>
          <w:tcPr>
            <w:tcW w:type="dxa" w:w="516"/>
            <w:tcBorders>
              <w:top w:color="000000" w:sz="4" w:val="single"/>
              <w:left w:color="000000" w:sz="4" w:val="single"/>
              <w:bottom w:color="000000" w:sz="4" w:val="single"/>
              <w:right w:color="000000" w:sz="4" w:val="single"/>
            </w:tcBorders>
            <w:shd w:fill="auto" w:val="clear"/>
          </w:tcPr>
          <w:p w14:paraId="AA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AB000000">
            <w:pPr>
              <w:spacing w:after="0" w:line="240" w:lineRule="auto"/>
              <w:ind/>
              <w:jc w:val="both"/>
            </w:pPr>
            <w:r>
              <w:t xml:space="preserve">Размер обеспечения заявки на </w:t>
            </w:r>
            <w:r>
              <w:t>участие в аукционе.</w:t>
            </w:r>
          </w:p>
        </w:tc>
        <w:tc>
          <w:tcPr>
            <w:tcW w:type="dxa" w:w="7748"/>
            <w:tcBorders>
              <w:top w:color="000000" w:sz="4" w:val="single"/>
              <w:left w:color="000000" w:sz="4" w:val="single"/>
              <w:bottom w:color="000000" w:sz="4" w:val="single"/>
              <w:right w:color="000000" w:sz="4" w:val="single"/>
            </w:tcBorders>
            <w:shd w:fill="auto" w:val="clear"/>
          </w:tcPr>
          <w:p w14:paraId="AC000000">
            <w:pPr>
              <w:spacing w:after="0" w:line="240" w:lineRule="auto"/>
              <w:ind/>
              <w:jc w:val="both"/>
              <w:rPr>
                <w:i w:val="1"/>
                <w:color w:val="FF0000"/>
                <w:highlight w:val="cyan"/>
              </w:rPr>
            </w:pPr>
            <w:r>
              <w:t>1.00</w:t>
            </w:r>
            <w:r>
              <w:t>%</w:t>
            </w:r>
            <w:r>
              <w:t xml:space="preserve"> от начальной (максимальной) цены договора: </w:t>
            </w:r>
            <w:r>
              <w:t>157905.95</w:t>
            </w:r>
            <w:r>
              <w:t xml:space="preserve"> рублей.</w:t>
            </w:r>
          </w:p>
        </w:tc>
      </w:tr>
      <w:tr>
        <w:tc>
          <w:tcPr>
            <w:tcW w:type="dxa" w:w="516"/>
            <w:tcBorders>
              <w:top w:color="000000" w:sz="4" w:val="single"/>
              <w:left w:color="000000" w:sz="4" w:val="single"/>
              <w:bottom w:color="000000" w:sz="4" w:val="single"/>
              <w:right w:color="000000" w:sz="4" w:val="single"/>
            </w:tcBorders>
            <w:shd w:fill="auto" w:val="clear"/>
          </w:tcPr>
          <w:p w14:paraId="AD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AE000000">
            <w:pPr>
              <w:spacing w:after="0" w:line="240" w:lineRule="auto"/>
              <w:ind/>
              <w:jc w:val="both"/>
            </w:pPr>
            <w:r>
              <w:t>Размер обеспечения исполнения договора, размер обеспечения гарантийных обязательств</w:t>
            </w:r>
            <w:r>
              <w:t>.</w:t>
            </w:r>
          </w:p>
        </w:tc>
        <w:tc>
          <w:tcPr>
            <w:tcW w:type="dxa" w:w="7748"/>
            <w:tcBorders>
              <w:top w:color="000000" w:sz="4" w:val="single"/>
              <w:left w:color="000000" w:sz="4" w:val="single"/>
              <w:bottom w:color="000000" w:sz="4" w:val="single"/>
              <w:right w:color="000000" w:sz="4" w:val="single"/>
            </w:tcBorders>
            <w:shd w:fill="auto" w:val="clear"/>
          </w:tcPr>
          <w:p w14:paraId="AF000000">
            <w:pPr>
              <w:spacing w:after="0"/>
              <w:ind/>
              <w:jc w:val="both"/>
            </w:pPr>
            <w:r>
              <w:t>Обеспечение исполнения договора:</w:t>
            </w:r>
            <w:r>
              <w:t xml:space="preserve"> </w:t>
            </w:r>
          </w:p>
          <w:p w14:paraId="B0000000">
            <w:pPr>
              <w:spacing w:after="0"/>
              <w:ind/>
              <w:jc w:val="both"/>
            </w:pPr>
          </w:p>
          <w:p w14:paraId="B1000000">
            <w:pPr>
              <w:spacing w:after="0"/>
              <w:ind/>
              <w:jc w:val="both"/>
            </w:pPr>
            <w:r>
              <w:t>5.00</w:t>
            </w:r>
            <w:r>
              <w:t xml:space="preserve">% </w:t>
            </w:r>
            <w:r>
              <w:t xml:space="preserve">от </w:t>
            </w:r>
            <w:r>
              <w:t>цены договора (цены лота) в размере</w:t>
            </w:r>
            <w:r>
              <w:t xml:space="preserve"> </w:t>
            </w:r>
            <w:r>
              <w:t>789529.75</w:t>
            </w:r>
            <w:r>
              <w:t xml:space="preserve"> рублей.</w:t>
            </w:r>
          </w:p>
          <w:p w14:paraId="B2000000">
            <w:pPr>
              <w:spacing w:after="0"/>
              <w:ind/>
              <w:jc w:val="both"/>
            </w:pPr>
          </w:p>
          <w:p w14:paraId="B3000000">
            <w:pPr>
              <w:ind/>
              <w:jc w:val="both"/>
            </w:pPr>
            <w:r>
              <w:t>Обеспечение гарантийных обязательств:</w:t>
            </w:r>
            <w:r>
              <w:t xml:space="preserve"> </w:t>
            </w:r>
            <w:r>
              <w:t xml:space="preserve"> </w:t>
            </w:r>
          </w:p>
          <w:p w14:paraId="B4000000">
            <w:pPr>
              <w:spacing w:after="0" w:line="240" w:lineRule="auto"/>
              <w:ind/>
              <w:jc w:val="both"/>
            </w:pPr>
            <w:r>
              <w:t xml:space="preserve">Не установлено </w:t>
            </w:r>
          </w:p>
          <w:p w14:paraId="B5000000">
            <w:pPr>
              <w:spacing w:after="0" w:line="240" w:lineRule="auto"/>
              <w:ind/>
              <w:jc w:val="both"/>
            </w:pPr>
          </w:p>
          <w:p w14:paraId="B6000000">
            <w:pPr>
              <w:spacing w:after="0" w:line="240" w:lineRule="auto"/>
              <w:ind/>
              <w:jc w:val="both"/>
            </w:pPr>
            <w:r>
              <w:t>Положения об обеспечении исполнения договора, включая положения о предоставлении такого обеспечения с учетом антидемпинговых мер, об обеспечении гарантийных обязательств не применяются в случае:</w:t>
            </w:r>
          </w:p>
          <w:p w14:paraId="B7000000">
            <w:pPr>
              <w:spacing w:after="0" w:line="240" w:lineRule="auto"/>
              <w:ind/>
              <w:jc w:val="both"/>
            </w:pPr>
            <w:r>
              <w:t>1) заключения договора с участником закупки, который является казенным учреждением;</w:t>
            </w:r>
          </w:p>
          <w:p w14:paraId="B8000000">
            <w:pPr>
              <w:spacing w:after="0" w:line="240" w:lineRule="auto"/>
              <w:ind/>
              <w:jc w:val="both"/>
            </w:pPr>
            <w:r>
              <w:t>2) осуществления закупки услуги по предоставлению кредита.</w:t>
            </w:r>
          </w:p>
        </w:tc>
      </w:tr>
      <w:tr>
        <w:tc>
          <w:tcPr>
            <w:tcW w:type="dxa" w:w="516"/>
            <w:tcBorders>
              <w:top w:color="000000" w:sz="4" w:val="single"/>
              <w:left w:color="000000" w:sz="4" w:val="single"/>
              <w:bottom w:color="000000" w:sz="4" w:val="single"/>
              <w:right w:color="000000" w:sz="4" w:val="single"/>
            </w:tcBorders>
            <w:shd w:fill="auto" w:val="clear"/>
          </w:tcPr>
          <w:p w14:paraId="B9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BA000000">
            <w:pPr>
              <w:spacing w:after="0" w:line="240" w:lineRule="auto"/>
              <w:ind/>
              <w:jc w:val="both"/>
            </w:pPr>
            <w:r>
              <w:t xml:space="preserve">Информация об организаторе закупки </w:t>
            </w:r>
            <w:r>
              <w:t>по организации и проведению закупки</w:t>
            </w:r>
            <w:r>
              <w:t>: наименование, место нахождения, почтовый адрес.</w:t>
            </w:r>
          </w:p>
        </w:tc>
        <w:tc>
          <w:tcPr>
            <w:tcW w:type="dxa" w:w="7748"/>
            <w:tcBorders>
              <w:top w:color="000000" w:sz="4" w:val="single"/>
              <w:left w:color="000000" w:sz="4" w:val="single"/>
              <w:bottom w:color="000000" w:sz="4" w:val="single"/>
              <w:right w:color="000000" w:sz="4" w:val="single"/>
            </w:tcBorders>
            <w:shd w:fill="auto" w:val="clear"/>
          </w:tcPr>
          <w:p w14:paraId="BB000000">
            <w:pPr>
              <w:spacing w:after="0" w:line="240" w:lineRule="auto"/>
              <w:ind/>
              <w:jc w:val="both"/>
            </w:pPr>
            <w:r>
              <w:t xml:space="preserve">ГОСУДАРСТВЕННОЕ КАЗЕННОЕ УЧРЕЖДЕНИЕ </w:t>
            </w:r>
            <w:r>
              <w:t>РЕСПУБЛИКИ САХА (ЯКУТИЯ) «ЦЕНТР ЗАКУПОК РЕСПУБЛИКИ САХА (ЯКУТИЯ)»</w:t>
            </w:r>
          </w:p>
          <w:p w14:paraId="BC000000">
            <w:pPr>
              <w:pStyle w:val="Style_3"/>
              <w:ind/>
              <w:jc w:val="both"/>
            </w:pPr>
            <w:r>
              <w:t>Российская Федерация</w:t>
            </w:r>
            <w:r>
              <w:t xml:space="preserve">, Саха /Якутия/ </w:t>
            </w:r>
            <w:r>
              <w:t>Респ</w:t>
            </w:r>
            <w:r>
              <w:t>, Якутск г, ПР-КТ ЛЕНИНА, 22</w:t>
            </w:r>
          </w:p>
          <w:p w14:paraId="BD000000">
            <w:pPr>
              <w:spacing w:after="0" w:line="240" w:lineRule="auto"/>
              <w:ind/>
              <w:jc w:val="both"/>
            </w:pPr>
            <w:r>
              <w:t>Российская Федерация</w:t>
            </w:r>
            <w:r>
              <w:t xml:space="preserve">, 677000, Саха /Якутия/ </w:t>
            </w:r>
            <w:r>
              <w:t>Респ</w:t>
            </w:r>
            <w:r>
              <w:t>, Якутск г, проспект Ленина, 22, -</w:t>
            </w:r>
          </w:p>
        </w:tc>
      </w:tr>
      <w:tr>
        <w:tc>
          <w:tcPr>
            <w:tcW w:type="dxa" w:w="516"/>
            <w:tcBorders>
              <w:top w:color="000000" w:sz="4" w:val="single"/>
              <w:left w:color="000000" w:sz="4" w:val="single"/>
              <w:bottom w:color="000000" w:sz="4" w:val="single"/>
              <w:right w:color="000000" w:sz="4" w:val="single"/>
            </w:tcBorders>
            <w:shd w:fill="auto" w:val="clear"/>
          </w:tcPr>
          <w:p w14:paraId="BE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BF000000">
            <w:pPr>
              <w:spacing w:after="0" w:line="240" w:lineRule="auto"/>
              <w:ind/>
              <w:jc w:val="both"/>
              <w:rPr>
                <w:color w:val="00B0F0"/>
              </w:rPr>
            </w:pPr>
            <w:r>
              <w:t>Контактное лицо организатора закупки.</w:t>
            </w:r>
            <w:r>
              <w:rPr>
                <w:color w:val="00B0F0"/>
              </w:rPr>
              <w:t xml:space="preserve"> </w:t>
            </w:r>
          </w:p>
          <w:p w14:paraId="C0000000">
            <w:pPr>
              <w:spacing w:after="0" w:line="240" w:lineRule="auto"/>
              <w:ind/>
              <w:jc w:val="both"/>
            </w:pPr>
            <w:r>
              <w:rPr>
                <w:i w:val="1"/>
              </w:rPr>
              <w:t>ФИО, телефон, электронная почта</w:t>
            </w:r>
            <w:r>
              <w:rPr>
                <w:color w:val="00B0F0"/>
              </w:rPr>
              <w:t xml:space="preserve"> </w:t>
            </w:r>
          </w:p>
        </w:tc>
        <w:tc>
          <w:tcPr>
            <w:tcW w:type="dxa" w:w="7748"/>
            <w:tcBorders>
              <w:top w:color="000000" w:sz="4" w:val="single"/>
              <w:left w:color="000000" w:sz="4" w:val="single"/>
              <w:bottom w:color="000000" w:sz="4" w:val="single"/>
              <w:right w:color="000000" w:sz="4" w:val="single"/>
            </w:tcBorders>
            <w:shd w:fill="auto" w:val="clear"/>
          </w:tcPr>
          <w:p w14:paraId="C1000000">
            <w:pPr>
              <w:rPr>
                <w:i w:val="1"/>
                <w:color w:val="FF0000"/>
              </w:rPr>
            </w:pPr>
            <w:r>
              <w:t>Слепцов Павел Викторович</w:t>
            </w:r>
            <w:r>
              <w:t xml:space="preserve">, </w:t>
            </w:r>
            <w:r>
              <w:t>8-4112-508697</w:t>
            </w:r>
            <w:r>
              <w:t xml:space="preserve">, </w:t>
            </w:r>
            <w:r>
              <w:t>slepcov.pv@goszakazyakutia</w:t>
            </w:r>
            <w:r>
              <w:t>.ru</w:t>
            </w:r>
          </w:p>
        </w:tc>
      </w:tr>
      <w:tr>
        <w:trPr>
          <w:trHeight w:hRule="atLeast" w:val="161"/>
        </w:trPr>
        <w:tc>
          <w:tcPr>
            <w:tcW w:type="dxa" w:w="516"/>
            <w:tcBorders>
              <w:top w:color="000000" w:sz="4" w:val="single"/>
              <w:left w:color="000000" w:sz="4" w:val="single"/>
              <w:bottom w:color="000000" w:sz="4" w:val="single"/>
              <w:right w:color="000000" w:sz="4" w:val="single"/>
            </w:tcBorders>
            <w:shd w:fill="auto" w:val="clear"/>
          </w:tcPr>
          <w:p w14:paraId="C2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C3000000">
            <w:pPr>
              <w:pStyle w:val="Style_4"/>
              <w:widowControl w:val="0"/>
              <w:tabs>
                <w:tab w:leader="none" w:pos="851" w:val="left"/>
              </w:tabs>
              <w:ind w:firstLine="0" w:left="0"/>
              <w:jc w:val="both"/>
            </w:pPr>
            <w:r>
              <w:t>Требования к участникам</w:t>
            </w:r>
            <w:r>
              <w:t xml:space="preserve"> закупки.</w:t>
            </w:r>
          </w:p>
        </w:tc>
        <w:tc>
          <w:tcPr>
            <w:tcW w:type="dxa" w:w="7748"/>
            <w:tcBorders>
              <w:top w:color="000000" w:sz="4" w:val="single"/>
              <w:left w:color="000000" w:sz="4" w:val="single"/>
              <w:bottom w:color="000000" w:sz="4" w:val="single"/>
              <w:right w:color="000000" w:sz="4" w:val="single"/>
            </w:tcBorders>
            <w:shd w:fill="auto" w:val="clear"/>
          </w:tcPr>
          <w:p w14:paraId="C4000000">
            <w:pPr>
              <w:spacing w:after="0" w:line="240" w:lineRule="auto"/>
              <w:ind/>
              <w:contextualSpacing w:val="1"/>
              <w:jc w:val="both"/>
            </w:pPr>
            <w:r>
              <w:t xml:space="preserve">Установлены </w:t>
            </w:r>
            <w:r>
              <w:t>следующие единые требования к участникам закупки:</w:t>
            </w:r>
          </w:p>
          <w:p w14:paraId="C5000000">
            <w:pPr>
              <w:spacing w:after="0" w:line="240" w:lineRule="auto"/>
              <w:ind/>
              <w:contextualSpacing w:val="1"/>
              <w:jc w:val="both"/>
            </w:pPr>
            <w:r>
              <w:t>а) непроведение ликвидации участника конкурентной закупки - юридического лица и отсутствие решения арбитражного суда о признании участника такой закупки - юридического лица или индивидуального предпринимателя несостоятельным (банкротом);</w:t>
            </w:r>
          </w:p>
          <w:p w14:paraId="C6000000">
            <w:pPr>
              <w:spacing w:after="0" w:line="240" w:lineRule="auto"/>
              <w:ind/>
              <w:contextualSpacing w:val="1"/>
              <w:jc w:val="both"/>
            </w:pPr>
            <w:r>
              <w:t xml:space="preserve">б) </w:t>
            </w:r>
            <w:r>
              <w:t>не приостановление</w:t>
            </w:r>
            <w:r>
              <w:t xml:space="preserve"> деятельности участника конкурентной закупки в порядке, установленном Кодексом Российской Федерации об административных правонарушениях;</w:t>
            </w:r>
          </w:p>
          <w:p w14:paraId="C7000000">
            <w:pPr>
              <w:spacing w:after="0" w:line="240" w:lineRule="auto"/>
              <w:ind/>
              <w:contextualSpacing w:val="1"/>
              <w:jc w:val="both"/>
            </w:pPr>
            <w:r>
              <w:t xml:space="preserve">в) отсутствие у участника конкурентной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w:t>
            </w:r>
            <w:r>
              <w:t>обжаловании указанных недоимки, задолженности и решение по данному заявлению на дату рассмотрения заявки на участие в конкурентной закупке не принято;</w:t>
            </w:r>
          </w:p>
          <w:p w14:paraId="C8000000">
            <w:pPr>
              <w:spacing w:after="0" w:line="240" w:lineRule="auto"/>
              <w:ind/>
              <w:contextualSpacing w:val="1"/>
              <w:jc w:val="both"/>
            </w:pPr>
            <w:r>
              <w:t>г) отсутствие у участника конкурентной закупки - физического лица, зарегистрированного в качестве индивидуального предпринимателя,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непогашенной или неснятой судимости за преступления в сфере экономики и преступления, предусмотренные статьями 289, 290, 291, 291.1 Уголовного кодекса Российской Федерации,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14:paraId="C9000000">
            <w:pPr>
              <w:spacing w:after="0" w:line="240" w:lineRule="auto"/>
              <w:ind/>
              <w:contextualSpacing w:val="1"/>
              <w:jc w:val="both"/>
            </w:pPr>
            <w:r>
              <w:t>д) отсутствие фактов привлечения в течение двух лет до момента подачи заявки на участие в конкурентной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CA000000">
            <w:pPr>
              <w:spacing w:after="0" w:line="240" w:lineRule="auto"/>
              <w:ind/>
              <w:contextualSpacing w:val="1"/>
              <w:jc w:val="both"/>
            </w:pPr>
            <w:r>
              <w:t xml:space="preserve">е) соответствие участника конкурентной закупки указанным в </w:t>
            </w:r>
            <w:r>
              <w:t>документации о проведении аукциона</w:t>
            </w:r>
            <w:r>
              <w:t xml:space="preserve">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"Интернет" (с указанием адреса сайта или страницы сайта в информационно-телекоммуникационной сети "Интернет", на которых размещены эти информация и документы);</w:t>
            </w:r>
          </w:p>
          <w:p w14:paraId="CB000000">
            <w:pPr>
              <w:spacing w:after="0" w:line="240" w:lineRule="auto"/>
              <w:ind/>
              <w:contextualSpacing w:val="1"/>
              <w:jc w:val="both"/>
            </w:pPr>
            <w:r>
              <w:t>ж) обладание участником конкурентной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14:paraId="CC000000">
            <w:pPr>
              <w:spacing w:after="0" w:line="240" w:lineRule="auto"/>
              <w:ind/>
              <w:contextualSpacing w:val="1"/>
              <w:jc w:val="both"/>
            </w:pPr>
            <w:r>
              <w:t>з) обладание участником конкурентной закупки правами использования результата интеллектуальной деятельности в случае использования такого результата при исполнении договора</w:t>
            </w:r>
            <w:r>
              <w:t>;</w:t>
            </w:r>
          </w:p>
          <w:p w14:paraId="CD000000">
            <w:pPr>
              <w:spacing w:after="0" w:line="240" w:lineRule="auto"/>
              <w:ind/>
              <w:contextualSpacing w:val="1"/>
              <w:jc w:val="both"/>
            </w:pPr>
            <w:r>
              <w:t>к) участник закупки не является иностранным агентом</w:t>
            </w:r>
            <w:r>
              <w:t xml:space="preserve"> в соответствии с Федеральным законом от 14 июля 2022 года № 255-ФЗ «О контроле за деятельностью лиц, находящихся под иностранным влиянием».</w:t>
            </w:r>
          </w:p>
        </w:tc>
      </w:tr>
      <w:tr>
        <w:trPr>
          <w:trHeight w:hRule="atLeast" w:val="161"/>
        </w:trPr>
        <w:tc>
          <w:tcPr>
            <w:tcW w:type="dxa" w:w="516"/>
            <w:tcBorders>
              <w:top w:color="000000" w:sz="4" w:val="single"/>
              <w:left w:color="000000" w:sz="4" w:val="single"/>
              <w:bottom w:color="000000" w:sz="4" w:val="single"/>
              <w:right w:color="000000" w:sz="4" w:val="single"/>
            </w:tcBorders>
            <w:shd w:fill="auto" w:val="clear"/>
          </w:tcPr>
          <w:p w14:paraId="CE000000">
            <w:pPr>
              <w:pStyle w:val="Style_4"/>
              <w:numPr>
                <w:ilvl w:val="0"/>
                <w:numId w:val="1"/>
              </w:numPr>
              <w:ind w:firstLine="0" w:left="0"/>
              <w:jc w:val="center"/>
            </w:pPr>
            <w:bookmarkStart w:id="4" w:name="_Hlk76131227"/>
          </w:p>
        </w:tc>
        <w:tc>
          <w:tcPr>
            <w:tcW w:type="dxa" w:w="6332"/>
            <w:tcBorders>
              <w:top w:color="000000" w:sz="4" w:val="single"/>
              <w:left w:color="000000" w:sz="4" w:val="single"/>
              <w:bottom w:color="000000" w:sz="4" w:val="single"/>
              <w:right w:color="000000" w:sz="4" w:val="single"/>
            </w:tcBorders>
            <w:shd w:fill="auto" w:val="clear"/>
          </w:tcPr>
          <w:p w14:paraId="CF000000">
            <w:pPr>
              <w:spacing w:after="0" w:line="240" w:lineRule="auto"/>
              <w:ind/>
              <w:jc w:val="both"/>
              <w:rPr>
                <w:highlight w:val="yellow"/>
              </w:rPr>
            </w:pPr>
            <w:r>
              <w:t xml:space="preserve">Требование об отсутствии </w:t>
            </w:r>
            <w:r>
              <w:rPr>
                <w:color w:val="000000"/>
              </w:rPr>
              <w:t>сведений об участниках закупки в реестре недобросовестных поставщиков, предусмотренном статьей 5 Закона № 223-ФЗ, и (или) в реестре недобросовестных поставщиков (подрядчиков, исполнителей), предусмотренном Законом № 44-ФЗ.</w:t>
            </w:r>
          </w:p>
        </w:tc>
        <w:tc>
          <w:tcPr>
            <w:tcW w:type="dxa" w:w="7748"/>
            <w:tcBorders>
              <w:top w:color="000000" w:sz="4" w:val="single"/>
              <w:left w:color="000000" w:sz="4" w:val="single"/>
              <w:bottom w:color="000000" w:sz="4" w:val="single"/>
              <w:right w:color="000000" w:sz="4" w:val="single"/>
            </w:tcBorders>
            <w:shd w:fill="auto" w:val="clear"/>
          </w:tcPr>
          <w:p w14:paraId="D0000000">
            <w:pPr>
              <w:spacing w:after="0" w:line="240" w:lineRule="auto"/>
              <w:ind/>
              <w:jc w:val="both"/>
            </w:pPr>
            <w:r>
              <w:t>Установлено</w:t>
            </w:r>
          </w:p>
        </w:tc>
      </w:tr>
      <w:tr>
        <w:trPr>
          <w:trHeight w:hRule="atLeast" w:val="161"/>
        </w:trPr>
        <w:tc>
          <w:tcPr>
            <w:tcW w:type="dxa" w:w="516"/>
            <w:tcBorders>
              <w:top w:color="000000" w:sz="4" w:val="single"/>
              <w:left w:color="000000" w:sz="4" w:val="single"/>
              <w:bottom w:color="000000" w:sz="4" w:val="single"/>
              <w:right w:color="000000" w:sz="4" w:val="single"/>
            </w:tcBorders>
            <w:shd w:fill="auto" w:val="clear"/>
          </w:tcPr>
          <w:p w14:paraId="D1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D2000000">
            <w:pPr>
              <w:spacing w:after="0" w:line="240" w:lineRule="auto"/>
              <w:ind/>
              <w:jc w:val="both"/>
              <w:rPr>
                <w:highlight w:val="yellow"/>
              </w:rPr>
            </w:pPr>
            <w:r>
              <w:t xml:space="preserve">Перечень документов, которые подтверждают соответствие участников закупок требованиям, </w:t>
            </w:r>
            <w:r>
              <w:t>указанным в пункте</w:t>
            </w:r>
            <w:r>
              <w:t xml:space="preserve"> 2</w:t>
            </w:r>
            <w:r>
              <w:t>8</w:t>
            </w:r>
            <w:r>
              <w:t xml:space="preserve"> </w:t>
            </w:r>
            <w:r>
              <w:t>части 1 «</w:t>
            </w:r>
            <w:r>
              <w:t>Информационн</w:t>
            </w:r>
            <w:r>
              <w:t>ая</w:t>
            </w:r>
            <w:r>
              <w:t xml:space="preserve"> карт</w:t>
            </w:r>
            <w:r>
              <w:t>а» документации</w:t>
            </w:r>
            <w:r>
              <w:t>.</w:t>
            </w:r>
            <w:r>
              <w:t xml:space="preserve">  </w:t>
            </w:r>
          </w:p>
        </w:tc>
        <w:tc>
          <w:tcPr>
            <w:tcW w:type="dxa" w:w="7748"/>
            <w:tcBorders>
              <w:top w:color="000000" w:sz="4" w:val="single"/>
              <w:left w:color="000000" w:sz="4" w:val="single"/>
              <w:bottom w:color="000000" w:sz="4" w:val="single"/>
              <w:right w:color="000000" w:sz="4" w:val="single"/>
            </w:tcBorders>
            <w:shd w:fill="auto" w:val="clear"/>
          </w:tcPr>
          <w:p w14:paraId="D3000000">
            <w:pPr>
              <w:spacing w:after="0" w:line="240" w:lineRule="auto"/>
              <w:ind/>
              <w:jc w:val="both"/>
              <w:rPr>
                <w:highlight w:val="yellow"/>
              </w:rPr>
            </w:pPr>
            <w:r>
              <w:t xml:space="preserve">В соответствии с частью </w:t>
            </w:r>
            <w:r>
              <w:t xml:space="preserve">2 документации </w:t>
            </w:r>
          </w:p>
        </w:tc>
      </w:tr>
      <w:tr>
        <w:trPr>
          <w:trHeight w:hRule="atLeast" w:val="161"/>
        </w:trPr>
        <w:tc>
          <w:tcPr>
            <w:tcW w:type="dxa" w:w="516"/>
            <w:tcBorders>
              <w:top w:color="000000" w:sz="4" w:val="single"/>
              <w:left w:color="000000" w:sz="4" w:val="single"/>
              <w:bottom w:color="000000" w:sz="4" w:val="single"/>
              <w:right w:color="000000" w:sz="4" w:val="single"/>
            </w:tcBorders>
            <w:shd w:fill="auto" w:val="clear"/>
          </w:tcPr>
          <w:p w14:paraId="D4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D5000000">
            <w:pPr>
              <w:spacing w:after="0" w:line="240" w:lineRule="auto"/>
              <w:ind/>
              <w:jc w:val="both"/>
            </w:pPr>
            <w:r>
              <w:t>Требования к участникам закупки и привлекаемым ими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в случае закупки работ по проектированию, строительству, модернизации и ремонту особо опасных, технически сложных объектов капитального строительства и закупки товаров, работ, услуг, связанных с использованием атомной энергии</w:t>
            </w:r>
          </w:p>
        </w:tc>
        <w:tc>
          <w:tcPr>
            <w:tcW w:type="dxa" w:w="7748"/>
            <w:tcBorders>
              <w:top w:color="000000" w:sz="4" w:val="single"/>
              <w:left w:color="000000" w:sz="4" w:val="single"/>
              <w:bottom w:color="000000" w:sz="4" w:val="single"/>
              <w:right w:color="000000" w:sz="4" w:val="single"/>
            </w:tcBorders>
            <w:shd w:fill="auto" w:val="clear"/>
          </w:tcPr>
          <w:p w14:paraId="D6000000">
            <w:pPr>
              <w:spacing w:after="0" w:line="240" w:lineRule="auto"/>
              <w:ind/>
              <w:jc w:val="both"/>
              <w:rPr>
                <w:highlight w:val="cyan"/>
              </w:rPr>
            </w:pPr>
            <w:r>
              <w:t>Не установлено</w:t>
            </w:r>
          </w:p>
        </w:tc>
      </w:tr>
      <w:tr>
        <w:trPr>
          <w:trHeight w:hRule="atLeast" w:val="161"/>
        </w:trPr>
        <w:tc>
          <w:tcPr>
            <w:tcW w:type="dxa" w:w="516"/>
            <w:tcBorders>
              <w:top w:color="000000" w:sz="4" w:val="single"/>
              <w:left w:color="000000" w:sz="4" w:val="single"/>
              <w:bottom w:color="000000" w:sz="4" w:val="single"/>
              <w:right w:color="000000" w:sz="4" w:val="single"/>
            </w:tcBorders>
            <w:shd w:fill="auto" w:val="clear"/>
          </w:tcPr>
          <w:p w14:paraId="D7000000">
            <w:pPr>
              <w:pStyle w:val="Style_4"/>
              <w:numPr>
                <w:ilvl w:val="0"/>
                <w:numId w:val="1"/>
              </w:numPr>
              <w:ind w:firstLine="0" w:left="0"/>
              <w:jc w:val="center"/>
            </w:pPr>
            <w:bookmarkEnd w:id="4"/>
          </w:p>
        </w:tc>
        <w:tc>
          <w:tcPr>
            <w:tcW w:type="dxa" w:w="6332"/>
            <w:tcBorders>
              <w:top w:color="000000" w:sz="4" w:val="single"/>
              <w:left w:color="000000" w:sz="4" w:val="single"/>
              <w:bottom w:color="000000" w:sz="4" w:val="single"/>
              <w:right w:color="000000" w:sz="4" w:val="single"/>
            </w:tcBorders>
            <w:shd w:fill="auto" w:val="clear"/>
          </w:tcPr>
          <w:p w14:paraId="D8000000">
            <w:pPr>
              <w:spacing w:after="0" w:line="240" w:lineRule="auto"/>
              <w:ind/>
              <w:jc w:val="both"/>
            </w:pPr>
            <w:r>
              <w:t xml:space="preserve">Описание </w:t>
            </w:r>
            <w:r>
              <w:t>предмета</w:t>
            </w:r>
            <w:r>
              <w:t xml:space="preserve"> закупки.</w:t>
            </w:r>
          </w:p>
        </w:tc>
        <w:tc>
          <w:tcPr>
            <w:tcW w:type="dxa" w:w="7748"/>
            <w:tcBorders>
              <w:top w:color="000000" w:sz="4" w:val="single"/>
              <w:left w:color="000000" w:sz="4" w:val="single"/>
              <w:bottom w:color="000000" w:sz="4" w:val="single"/>
              <w:right w:color="000000" w:sz="4" w:val="single"/>
            </w:tcBorders>
            <w:shd w:fill="auto" w:val="clear"/>
          </w:tcPr>
          <w:p w14:paraId="D9000000">
            <w:pPr>
              <w:spacing w:after="0" w:line="240" w:lineRule="auto"/>
              <w:ind/>
              <w:jc w:val="both"/>
            </w:pPr>
            <w:r>
              <w:t xml:space="preserve">В соответствии с частью </w:t>
            </w:r>
            <w:r>
              <w:t>3</w:t>
            </w:r>
            <w:r>
              <w:t xml:space="preserve"> документации</w:t>
            </w:r>
          </w:p>
        </w:tc>
      </w:tr>
      <w:tr>
        <w:trPr>
          <w:trHeight w:hRule="atLeast" w:val="161"/>
        </w:trPr>
        <w:tc>
          <w:tcPr>
            <w:tcW w:type="dxa" w:w="516"/>
            <w:tcBorders>
              <w:top w:color="000000" w:sz="4" w:val="single"/>
              <w:left w:color="000000" w:sz="4" w:val="single"/>
              <w:bottom w:color="000000" w:sz="4" w:val="single"/>
              <w:right w:color="000000" w:sz="4" w:val="single"/>
            </w:tcBorders>
            <w:shd w:fill="auto" w:val="clear"/>
          </w:tcPr>
          <w:p w14:paraId="DA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DB000000">
            <w:pPr>
              <w:spacing w:after="0" w:line="240" w:lineRule="auto"/>
              <w:ind/>
              <w:jc w:val="both"/>
            </w:pPr>
            <w:r>
              <w:t>Информация о количестве товара, объеме работ и услуг.</w:t>
            </w:r>
          </w:p>
        </w:tc>
        <w:tc>
          <w:tcPr>
            <w:tcW w:type="dxa" w:w="7748"/>
            <w:tcBorders>
              <w:top w:color="000000" w:sz="4" w:val="single"/>
              <w:left w:color="000000" w:sz="4" w:val="single"/>
              <w:bottom w:color="000000" w:sz="4" w:val="single"/>
              <w:right w:color="000000" w:sz="4" w:val="single"/>
            </w:tcBorders>
            <w:shd w:fill="auto" w:val="clear"/>
          </w:tcPr>
          <w:p w14:paraId="DC000000">
            <w:pPr>
              <w:spacing w:after="0" w:line="240" w:lineRule="auto"/>
              <w:ind/>
              <w:jc w:val="both"/>
            </w:pPr>
            <w:r>
              <w:t xml:space="preserve">В соответствии с частью </w:t>
            </w:r>
            <w:r>
              <w:t>3</w:t>
            </w:r>
            <w:r>
              <w:t xml:space="preserve"> документации</w:t>
            </w:r>
          </w:p>
        </w:tc>
      </w:tr>
      <w:tr>
        <w:trPr>
          <w:trHeight w:hRule="atLeast" w:val="161"/>
        </w:trPr>
        <w:tc>
          <w:tcPr>
            <w:tcW w:type="dxa" w:w="516"/>
            <w:tcBorders>
              <w:top w:color="000000" w:sz="4" w:val="single"/>
              <w:left w:color="000000" w:sz="4" w:val="single"/>
              <w:bottom w:color="000000" w:sz="4" w:val="single"/>
              <w:right w:color="000000" w:sz="4" w:val="single"/>
            </w:tcBorders>
            <w:shd w:fill="auto" w:val="clear"/>
          </w:tcPr>
          <w:p w14:paraId="DD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DE000000">
            <w:pPr>
              <w:spacing w:after="0" w:line="240" w:lineRule="auto"/>
              <w:ind/>
              <w:jc w:val="both"/>
            </w:pPr>
            <w:r>
              <w:t xml:space="preserve">Обоснование </w:t>
            </w:r>
            <w:r>
              <w:t>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r>
              <w:t>.</w:t>
            </w:r>
          </w:p>
        </w:tc>
        <w:tc>
          <w:tcPr>
            <w:tcW w:type="dxa" w:w="7748"/>
            <w:tcBorders>
              <w:top w:color="000000" w:sz="4" w:val="single"/>
              <w:left w:color="000000" w:sz="4" w:val="single"/>
              <w:bottom w:color="000000" w:sz="4" w:val="single"/>
              <w:right w:color="000000" w:sz="4" w:val="single"/>
            </w:tcBorders>
            <w:shd w:fill="auto" w:val="clear"/>
          </w:tcPr>
          <w:p w14:paraId="DF000000">
            <w:pPr>
              <w:spacing w:after="0" w:line="240" w:lineRule="auto"/>
              <w:ind/>
              <w:jc w:val="both"/>
            </w:pPr>
            <w:r>
              <w:t xml:space="preserve">В соответствии с частью </w:t>
            </w:r>
            <w:r>
              <w:t>4</w:t>
            </w:r>
            <w:r>
              <w:t xml:space="preserve"> документации</w:t>
            </w:r>
          </w:p>
        </w:tc>
      </w:tr>
      <w:tr>
        <w:trPr>
          <w:trHeight w:hRule="atLeast" w:val="161"/>
        </w:trPr>
        <w:tc>
          <w:tcPr>
            <w:tcW w:type="dxa" w:w="516"/>
            <w:tcBorders>
              <w:top w:color="000000" w:sz="4" w:val="single"/>
              <w:left w:color="000000" w:sz="4" w:val="single"/>
              <w:bottom w:color="000000" w:sz="4" w:val="single"/>
              <w:right w:color="000000" w:sz="4" w:val="single"/>
            </w:tcBorders>
            <w:shd w:fill="auto" w:val="clear"/>
          </w:tcPr>
          <w:p w14:paraId="E000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E1000000">
            <w:pPr>
              <w:spacing w:after="0" w:line="240" w:lineRule="auto"/>
              <w:ind/>
              <w:jc w:val="both"/>
            </w:pPr>
            <w:r>
              <w:t>П</w:t>
            </w:r>
            <w:r>
              <w:t xml:space="preserve">орядок внесения денежных средств в качестве обеспечения заявок на участие в аукционе (в случае </w:t>
            </w:r>
            <w:r>
              <w:t xml:space="preserve">установления такого требования в пункте </w:t>
            </w:r>
            <w:r>
              <w:t xml:space="preserve">24 </w:t>
            </w:r>
            <w:r>
              <w:t>части 1 «Информационн</w:t>
            </w:r>
            <w:r>
              <w:t>ая</w:t>
            </w:r>
            <w:r>
              <w:t xml:space="preserve"> карт</w:t>
            </w:r>
            <w:r>
              <w:t>а</w:t>
            </w:r>
            <w:r>
              <w:t>» документации</w:t>
            </w:r>
            <w:r>
              <w:t>)</w:t>
            </w:r>
          </w:p>
        </w:tc>
        <w:tc>
          <w:tcPr>
            <w:tcW w:type="dxa" w:w="7748"/>
            <w:tcBorders>
              <w:top w:color="000000" w:sz="4" w:val="single"/>
              <w:left w:color="000000" w:sz="4" w:val="single"/>
              <w:bottom w:color="000000" w:sz="4" w:val="single"/>
              <w:right w:color="000000" w:sz="4" w:val="single"/>
            </w:tcBorders>
            <w:shd w:fill="auto" w:val="clear"/>
          </w:tcPr>
          <w:p w14:paraId="E2000000">
            <w:pPr>
              <w:spacing w:after="0" w:line="240" w:lineRule="auto"/>
              <w:ind/>
              <w:jc w:val="both"/>
            </w:pPr>
            <w:r>
              <w:t xml:space="preserve">Обеспечение заявки на участие в конкурентной закупке может предоставляться участником закупки путем внесения денежных средств, предоставления банковской гарантии или иным способом, предусмотренным Гражданским кодексом Российской Федерации. Выбор </w:t>
            </w:r>
            <w:r>
              <w:t>способа обеспечения заявки на участие в конкурентной закупке из числа предусмотренных заказчиком в извещении об осуществлении конкурентной закупки, документации о конкурентной закупке осуществляется участником закупки.</w:t>
            </w:r>
          </w:p>
          <w:p w14:paraId="E3000000">
            <w:pPr>
              <w:spacing w:after="0" w:line="240" w:lineRule="auto"/>
              <w:ind/>
              <w:jc w:val="both"/>
            </w:pPr>
            <w:r>
              <w:t>В случае осуществления конкурентной закупки в соответствии с разделом 15 Положения о закупке, обеспечение заявки на участие в закупке может предоставляться участником закупки путем внесения денежных средств либо путем предоставления независимой гарантии по его выбору. Денежные средства, предназначенные для обеспечения заявки на участие в такой закупке, вносятся на специальный счет, открытый участником такой закупки в банке, включенном в перечень, определенный Правительством Российской Федерации в соответствии с Законом № 44-ФЗ (далее – специальный банковский счет).</w:t>
            </w:r>
          </w:p>
          <w:p w14:paraId="E4000000">
            <w:pPr>
              <w:spacing w:after="0" w:line="240" w:lineRule="auto"/>
              <w:ind/>
              <w:jc w:val="both"/>
            </w:pPr>
            <w:r>
              <w:t>Независимая гарантия, предоставляемая в качестве обеспечения заявки на участие в конкурентной закупке, осуществляемой в соответствии с разделом 15 Положения о закупке заказчика, должна соответствовать следующим требованиям:</w:t>
            </w:r>
          </w:p>
          <w:p w14:paraId="E5000000">
            <w:pPr>
              <w:spacing w:after="0" w:line="240" w:lineRule="auto"/>
              <w:ind/>
              <w:jc w:val="both"/>
            </w:pPr>
            <w:r>
              <w:t>1) независимая гарантия должна быть выдана гарантом, предусмотренным частью 1 статьи 45 Закона № 44-ФЗ;</w:t>
            </w:r>
          </w:p>
          <w:p w14:paraId="E6000000">
            <w:pPr>
              <w:spacing w:after="0" w:line="240" w:lineRule="auto"/>
              <w:ind/>
              <w:jc w:val="both"/>
            </w:pPr>
            <w:r>
              <w:t>2) информация о независимой гарантии должна быть включена в реестр независимых гарантий, предусмотренный частью 8 статьи 45 Закона № 44-ФЗ;</w:t>
            </w:r>
          </w:p>
          <w:p w14:paraId="E7000000">
            <w:pPr>
              <w:spacing w:after="0" w:line="240" w:lineRule="auto"/>
              <w:ind/>
              <w:jc w:val="both"/>
            </w:pPr>
            <w:r>
              <w:t>3) независимая гарантия не может быть отозвана выдавшим ее гарантом;</w:t>
            </w:r>
          </w:p>
          <w:p w14:paraId="E8000000">
            <w:pPr>
              <w:spacing w:after="0" w:line="240" w:lineRule="auto"/>
              <w:ind/>
              <w:jc w:val="both"/>
            </w:pPr>
            <w:r>
              <w:t>4) независимая гарантия должна содержать:</w:t>
            </w:r>
          </w:p>
          <w:p w14:paraId="E9000000">
            <w:pPr>
              <w:spacing w:after="0" w:line="240" w:lineRule="auto"/>
              <w:ind/>
              <w:jc w:val="both"/>
            </w:pPr>
            <w: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EA000000">
            <w:pPr>
              <w:spacing w:after="0" w:line="240" w:lineRule="auto"/>
              <w:ind/>
              <w:jc w:val="both"/>
            </w:pPr>
            <w:r>
              <w:t xml:space="preserve">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w:t>
            </w:r>
            <w:r>
              <w:t>Российской Федерации в соответствии с пунктом 4 части 32 статьи 3.4 Закона № 223-ФЗ;</w:t>
            </w:r>
          </w:p>
          <w:p w14:paraId="EB000000">
            <w:pPr>
              <w:spacing w:after="0" w:line="240" w:lineRule="auto"/>
              <w:ind/>
              <w:jc w:val="both"/>
            </w:pPr>
            <w:r>
              <w:t>в) указание на срок действия независимой гарантии, который не может составлять менее одного месяца с даты окончания срока подачи заявок на участие в такой закупке.</w:t>
            </w:r>
          </w:p>
          <w:p w14:paraId="EC000000">
            <w:pPr>
              <w:spacing w:after="0" w:line="240" w:lineRule="auto"/>
              <w:ind/>
              <w:jc w:val="both"/>
            </w:pPr>
            <w:r>
              <w:t xml:space="preserve">Несоответствие независимой гарантии, предоставленной участником конкурентной закупки, осуществляемой в соответствии с разделом 15 Положения о закупке заказчика, требованиям, предусмотренным </w:t>
            </w:r>
            <w:r>
              <w:t>данным пунктом</w:t>
            </w:r>
            <w:r>
              <w:t>, является основанием для отказа в принятии ее заказчиком.</w:t>
            </w:r>
          </w:p>
          <w:p w14:paraId="ED000000">
            <w:pPr>
              <w:spacing w:after="0" w:line="240" w:lineRule="auto"/>
              <w:ind/>
              <w:jc w:val="both"/>
            </w:pPr>
            <w:r>
              <w:t>В течение одного часа с момента окончания срока подачи заявок на участие в конкурентной закупке, осуществляемой в соответствии с разделом 15 Положения о закупке, оператор электронной площадки направляет в банк информацию об участнике закупки и размере денежных средств, необходимом для обеспечения заявки. Банк в течение одного часа с момента получения указанной информации осуществляет блокирование при наличии на специальном банковском счете участника закупки незаблокированных денежных средств в размере обеспечения указанной заявки и информирует оператора. Блокирование денежных средств не осуществляется в случае отсутствия на специальном банковском счете участника такой закупки денежных средств в размере для обеспечения указанной заявки либо в случае приостановления операций по такому счету в соответствии с законодательством Российской Федерации, о чем оператор электронной площадки информируется в течение одного часа. В случае, если блокирование денежных средств не может быть осуществлено по основаниям, предусмотренным настоящим пунктом, оператор электронной площадки обязан вернуть указанную заявку подавшему ее участнику в течение одного часа с момента получения соответствующей информации от банка.</w:t>
            </w:r>
          </w:p>
          <w:p w14:paraId="EE000000">
            <w:pPr>
              <w:spacing w:after="0" w:line="240" w:lineRule="auto"/>
              <w:ind/>
              <w:jc w:val="both"/>
            </w:pPr>
            <w:r>
              <w:t>Участник конкурентной закупки, осуществляемой в соответствии с разделом 15 Положения</w:t>
            </w:r>
            <w:r>
              <w:t xml:space="preserve"> о закупке заказчика</w:t>
            </w:r>
            <w:r>
              <w:t xml:space="preserve">, вправе распоряжаться денежными средствами, которые находятся на специальном банковском счете и в отношении которых не осуществлено блокирование в соответствии </w:t>
            </w:r>
            <w:r>
              <w:t xml:space="preserve">с данным </w:t>
            </w:r>
            <w:r>
              <w:t>пунктом.</w:t>
            </w:r>
          </w:p>
          <w:p w14:paraId="EF000000">
            <w:pPr>
              <w:spacing w:after="0" w:line="240" w:lineRule="auto"/>
              <w:ind/>
              <w:jc w:val="both"/>
            </w:pPr>
            <w:r>
              <w:t>В случаях, предусмотренных частью 26 статьи 3.2 Закона № 223-ФЗ, денежные средства, внесенные на специальный банковский счет в качестве обеспечения заявки на участие в конкурентной закупке, осуществляемой в соответствии с разделом 15 Положения</w:t>
            </w:r>
            <w:r>
              <w:t xml:space="preserve"> о закупке</w:t>
            </w:r>
            <w:r>
              <w:t>, перечисляются банком на счет заказчика, указанный в извещении об осуществлении такой конкурентной закупки, в документации о такой закупке, или заказчиком предъявляется требование об уплате денежной суммы по независимой гарантии, предоставленной в качестве обеспечения заявки на участие в такой конкурентной закупке.</w:t>
            </w:r>
          </w:p>
          <w:p w14:paraId="F0000000">
            <w:pPr>
              <w:spacing w:after="0" w:line="240" w:lineRule="auto"/>
              <w:ind/>
              <w:jc w:val="both"/>
            </w:pPr>
            <w:r>
              <w:t>В случае установления требования к обеспечению заявок при проведении конкурентной закупки, осуществляемой закрытым способом, за исключением закупок в электронной форме, заказчик в документации о конкурентной закупке для внесения денежных средств указывает свой счет.</w:t>
            </w:r>
          </w:p>
          <w:p w14:paraId="F1000000">
            <w:pPr>
              <w:spacing w:after="0" w:line="240" w:lineRule="auto"/>
              <w:ind/>
              <w:jc w:val="both"/>
            </w:pPr>
            <w:r>
              <w:t>Обеспечение заявки на участие в конкурентной закупке в электронной форме, а также возврат денежных средств, внесенных участником закупки в качестве такого обеспечения, осуществляется в порядке, установленном регламентом ЭП и соглашением, заключенным между заказчиком и оператором электронной площадки, а в случае осуществления конкурентной закупки, предусмотренной разделом 15 Положения</w:t>
            </w:r>
            <w:r>
              <w:t xml:space="preserve"> о закупке заказчика</w:t>
            </w:r>
            <w:r>
              <w:t>, в соответствии с едиными требованиями, предусмотренными Законом № 44-ФЗ.</w:t>
            </w:r>
          </w:p>
          <w:p w14:paraId="F2000000">
            <w:pPr>
              <w:spacing w:after="0" w:line="240" w:lineRule="auto"/>
              <w:ind/>
              <w:jc w:val="both"/>
            </w:pPr>
            <w:r>
              <w:t xml:space="preserve">В случае, если извещением об осуществлении конкурентной закупки, документацией о конкурентной закупке установлена возможность обеспечения заявки на участие в закупке и (или) обеспечения исполнения договора и (или) обеспечения гарантийных обязательств путем предоставления банковской гарантии, заказчики в качестве обеспечения заявок и (или) обеспечения исполнения договора и (или) обеспечения гарантийных обязательств принимают банковские гарантии, выданные банками, включенными в перечень банков, предусмотренный частью 1.2 статьи 45 Закона № 44-ФЗ, и соответствующие требованиям настоящего </w:t>
            </w:r>
            <w:r>
              <w:t>пункта</w:t>
            </w:r>
            <w:r>
              <w:t xml:space="preserve"> .</w:t>
            </w:r>
          </w:p>
          <w:p w14:paraId="F3000000">
            <w:pPr>
              <w:spacing w:after="0" w:line="240" w:lineRule="auto"/>
              <w:ind/>
              <w:jc w:val="both"/>
            </w:pPr>
            <w:r>
              <w:t>Банковская гарантия должна быть безотзывной и должна содержать:</w:t>
            </w:r>
          </w:p>
          <w:p w14:paraId="F4000000">
            <w:pPr>
              <w:spacing w:after="0" w:line="240" w:lineRule="auto"/>
              <w:ind/>
              <w:jc w:val="both"/>
            </w:pPr>
            <w:r>
              <w:t>1) сумму банковской гарантии, подлежащую уплате гарантом заказчику в установленных пунктом 9.20 раздела</w:t>
            </w:r>
            <w:r>
              <w:t xml:space="preserve"> 9 Положения о закупке заказчика</w:t>
            </w:r>
            <w:r>
              <w:t xml:space="preserve"> </w:t>
            </w:r>
            <w:r>
              <w:t>случаях или сумму банковской гарантии, подлежащую уплате гарантом заказчику в случае ненадлежащего исполнения обязательств принципалом;</w:t>
            </w:r>
          </w:p>
          <w:p w14:paraId="F5000000">
            <w:pPr>
              <w:spacing w:after="0" w:line="240" w:lineRule="auto"/>
              <w:ind/>
              <w:jc w:val="both"/>
            </w:pPr>
            <w:r>
              <w:t>2) перечень обязательств принципала, надлежащее исполнение которых обеспечивается банковской гарантией;</w:t>
            </w:r>
          </w:p>
          <w:p w14:paraId="F6000000">
            <w:pPr>
              <w:spacing w:after="0" w:line="240" w:lineRule="auto"/>
              <w:ind/>
              <w:jc w:val="both"/>
            </w:pPr>
            <w:r>
              <w:t>3) указание на обязанность гаранта в случае просрочки исполнения обязательств по банковской гарантии, требование об уплате денежной суммы по которой соответствует условиям такой банковской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банковской гарантии;</w:t>
            </w:r>
          </w:p>
          <w:p w14:paraId="F7000000">
            <w:pPr>
              <w:spacing w:after="0" w:line="240" w:lineRule="auto"/>
              <w:ind/>
              <w:jc w:val="both"/>
            </w:pPr>
            <w:r>
              <w:t>4) условие, согласно которому исполнением обязательств гаранта по банковской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14:paraId="F8000000">
            <w:pPr>
              <w:spacing w:after="0" w:line="240" w:lineRule="auto"/>
              <w:ind/>
              <w:jc w:val="both"/>
            </w:pPr>
            <w:r>
              <w:t>5) условие о сроке действия банковской гарантии (срок действия банковской гарантии, предоставленной в качестве обеспечения заявки, должен составлять не менее чем два месяца с даты окончания срока подачи заявок, срок действия банковской гарантии, предоставленной в качестве обеспечения исполнения договора, обеспечения гарантийных обязательств должен превышать предусмотренный договором срок исполнения обязательств, которые должны быть обеспечены такой банковской гарантией, не менее чем на один месяц, в том числе в случае его изменения в соответствии с Положением</w:t>
            </w:r>
            <w:r>
              <w:t xml:space="preserve"> о закупке заказчика</w:t>
            </w:r>
            <w:r>
              <w:t>);</w:t>
            </w:r>
          </w:p>
          <w:p w14:paraId="F9000000">
            <w:pPr>
              <w:spacing w:after="0" w:line="240" w:lineRule="auto"/>
              <w:ind/>
              <w:jc w:val="both"/>
            </w:pPr>
            <w:r>
              <w:t>6) отлагательное условие о том, что договор предоставления банковской гарантии заключается по обязательствам принципала, которые возникнут из договора при его заключении, в случае предоставления банковской гарантии в качестве обеспечения исполнения договора;</w:t>
            </w:r>
          </w:p>
          <w:p w14:paraId="FA000000">
            <w:pPr>
              <w:spacing w:after="0" w:line="240" w:lineRule="auto"/>
              <w:ind/>
              <w:jc w:val="both"/>
            </w:pPr>
            <w:r>
              <w:t xml:space="preserve">7) условие о праве заказчика в случае ненадлежащего выполнения или невыполнения поставщиком (подрядчиком, исполнителем) обязательств, обеспеченных банковской гарантией, представлять на бумажном носителе или в форме электронного документа требование об уплате денежной суммы по банковской гарантии, предоставленной в качестве обеспечения исполнения договора, в размере цены договора, </w:t>
            </w:r>
            <w:r>
              <w:t>уменьшенном на сумму, пропорциональную объему фактически исполненных поставщиком (подрядчиком, исполнителем) обязательств, предусмотренных договором и оплаченных заказчиком, но не превышающем размер обеспечения исполнения договора;</w:t>
            </w:r>
          </w:p>
          <w:p w14:paraId="FB000000">
            <w:pPr>
              <w:spacing w:after="0" w:line="240" w:lineRule="auto"/>
              <w:ind/>
              <w:jc w:val="both"/>
            </w:pPr>
            <w:r>
              <w:t>8) условие о праве заказчика в случае уклонения или отказа участника закупки заключить договор, представлять на бумажном носителе или в форме электронного документа требование об уплате денежной суммы по банковской гарантии, предоставленной в качестве обеспечения заявки, в размере обеспечения заявки, установленном в извещении об осуществлении конкурентной закупки, документации о конкурентной закупке (при наличии);</w:t>
            </w:r>
          </w:p>
          <w:p w14:paraId="FC000000">
            <w:pPr>
              <w:spacing w:after="0" w:line="240" w:lineRule="auto"/>
              <w:ind/>
              <w:jc w:val="both"/>
            </w:pPr>
            <w:r>
              <w:t>9) условие о праве заказчика в случае ненадлежащего выполнения или невыполнения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обеспеченных банковской гарантией, представлять на бумажном носителе или в форме электронного документа требование об уплате денежной суммы по банковской гарантии, предоставленной в качестве обеспечения исполнения гарантийных обязательств, в порядке и размере, установленными в договоре в соответствии с Положением</w:t>
            </w:r>
            <w:r>
              <w:t xml:space="preserve"> о закупке заказчика</w:t>
            </w:r>
            <w:r>
              <w:t>;</w:t>
            </w:r>
          </w:p>
          <w:p w14:paraId="FD000000">
            <w:pPr>
              <w:spacing w:after="0" w:line="240" w:lineRule="auto"/>
              <w:ind/>
              <w:jc w:val="both"/>
            </w:pPr>
            <w:r>
              <w:t>10) условие о праве заказчика по передаче права требования по банковской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14:paraId="FE000000">
            <w:pPr>
              <w:spacing w:after="0" w:line="240" w:lineRule="auto"/>
              <w:ind/>
              <w:jc w:val="both"/>
            </w:pPr>
            <w:r>
              <w:t>11) условие о том, что расходы, возникающие в связи с перечислением денежных средств гарантом по банковской гарантии, несет гарант;</w:t>
            </w:r>
          </w:p>
          <w:p w14:paraId="FF000000">
            <w:pPr>
              <w:spacing w:after="0" w:line="240" w:lineRule="auto"/>
              <w:ind/>
              <w:jc w:val="both"/>
            </w:pPr>
            <w:r>
              <w:t>12) перечень документов, которые заказчик должен предоставить банку вместе с требованием уплатить денежные средства по банковской гарантии:</w:t>
            </w:r>
          </w:p>
          <w:p w14:paraId="00010000">
            <w:pPr>
              <w:spacing w:after="0" w:line="240" w:lineRule="auto"/>
              <w:ind/>
              <w:jc w:val="both"/>
            </w:pPr>
            <w:r>
              <w:t>а) расчет суммы, включаемой в требование по банковской гарантии;</w:t>
            </w:r>
          </w:p>
          <w:p w14:paraId="01010000">
            <w:pPr>
              <w:spacing w:after="0" w:line="240" w:lineRule="auto"/>
              <w:ind/>
              <w:jc w:val="both"/>
            </w:pPr>
            <w:r>
              <w:t xml:space="preserve">б) распоряжение, подтверждающее перечисление заказчиком аванса принципалу, с отметкой банка заказчика или федерального органа исполнительной власти, осуществляющего правоприменительные </w:t>
            </w:r>
            <w:r>
              <w:t>функции по казначейскому обслуживанию исполнения бюджетов бюджетной системы Российской Федерации (если выплата аванса предусмотрена договором, а требование по банковской гарантии предъявлено в случае ненадлежащего исполнения принципалом обязательств по возврату аванса);</w:t>
            </w:r>
          </w:p>
          <w:p w14:paraId="02010000">
            <w:pPr>
              <w:spacing w:after="0" w:line="240" w:lineRule="auto"/>
              <w:ind/>
              <w:jc w:val="both"/>
            </w:pPr>
            <w:r>
              <w:t>в) документ, подтверждающий полномочия лица, подписавшего требование по банковской гарантии (доверенность) (в случае, если требование по банковской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заказчика);</w:t>
            </w:r>
          </w:p>
          <w:p w14:paraId="03010000">
            <w:pPr>
              <w:spacing w:after="0" w:line="240" w:lineRule="auto"/>
              <w:ind/>
              <w:jc w:val="both"/>
            </w:pPr>
            <w:r>
              <w:t>13) обязательное наличие нумерации на всех листах банковской гарантии, которые должны быть прошиты, подписаны и скреплены печатью гаранта, в случае ее оформления в письменной форме на бумажном носителе на нескольких листах.</w:t>
            </w:r>
          </w:p>
          <w:p w14:paraId="04010000">
            <w:pPr>
              <w:spacing w:after="0" w:line="240" w:lineRule="auto"/>
              <w:ind/>
              <w:jc w:val="both"/>
            </w:pPr>
            <w:r>
              <w:t>В случае, предусмотренном извещением об осуществлении конкурентной закупки, документацией о конкурентной закупке, проектом договора, заключаемого с единственным поставщиком (подрядчиком, исполнителем), в банковскую гарантию включается  условие о праве заказчика на бесспорное списание денежных средств со счета гаранта, если гарантом в срок не более чем пять рабочих дней не исполнено требование заказчика об уплате денежной суммы по банковской гарантии, направленное до окончания срока действия банковской гарантии.</w:t>
            </w:r>
          </w:p>
          <w:p w14:paraId="05010000">
            <w:pPr>
              <w:spacing w:after="0" w:line="240" w:lineRule="auto"/>
              <w:ind/>
              <w:jc w:val="both"/>
            </w:pPr>
            <w:r>
              <w:t>Недопустимо включение в банковскую гарантию:</w:t>
            </w:r>
          </w:p>
          <w:p w14:paraId="06010000">
            <w:pPr>
              <w:spacing w:after="0" w:line="240" w:lineRule="auto"/>
              <w:ind/>
              <w:jc w:val="both"/>
            </w:pPr>
            <w:r>
              <w:t>1) положений о праве гаранта отказывать в удовлетворении требования заказчика о платеже по банковской гарантии в случае непредоставления гаранту заказчиком уведомления о нарушении поставщиком (подрядчиком, исполнителем) условий договора или расторжении договора (за исключением случаев, когда направление такого уведомления предусмотрено условиями договора или законодательством Российской Федерации);</w:t>
            </w:r>
          </w:p>
          <w:p w14:paraId="07010000">
            <w:pPr>
              <w:spacing w:after="0" w:line="240" w:lineRule="auto"/>
              <w:ind/>
              <w:jc w:val="both"/>
            </w:pPr>
            <w:r>
              <w:t>2) требований о предоставлении заказчиком гаранту отчета об исполнении договора;</w:t>
            </w:r>
          </w:p>
          <w:p w14:paraId="08010000">
            <w:pPr>
              <w:spacing w:after="0" w:line="240" w:lineRule="auto"/>
              <w:ind/>
              <w:jc w:val="both"/>
            </w:pPr>
            <w:r>
              <w:t xml:space="preserve">3) требований о предоставлении заказчиком гаранту одновременно с требованием об осуществлении уплаты денежной суммы по банковской </w:t>
            </w:r>
            <w:r>
              <w:t>гарантии документов, не включенных в перечень документов, установленный подпунктом 12 пункта 9.14 раздела</w:t>
            </w:r>
            <w:r>
              <w:t xml:space="preserve"> 9 Положения о закупке заказчика</w:t>
            </w:r>
            <w:r>
              <w:t xml:space="preserve">. </w:t>
            </w:r>
          </w:p>
          <w:p w14:paraId="09010000">
            <w:pPr>
              <w:spacing w:after="0" w:line="240" w:lineRule="auto"/>
              <w:ind/>
              <w:jc w:val="both"/>
            </w:pPr>
            <w:r>
              <w:t xml:space="preserve">В случае, если участником закупки в составе заявки представлены документы, подтверждающие внесение денежных средств в качестве обеспечения заявки на участие в закупке, и до даты рассмотрения заявок денежные средства не поступили на счет, который указан заказчиком в извещении и (или) документации о конкурентной закупке, такой участник признается не предоставившим обеспечение заявки. </w:t>
            </w:r>
          </w:p>
          <w:p w14:paraId="0A010000">
            <w:pPr>
              <w:spacing w:after="0" w:line="240" w:lineRule="auto"/>
              <w:ind/>
              <w:jc w:val="both"/>
            </w:pPr>
            <w:r>
              <w:t>Денежные средства, внесенные на счет, указанный в извещении и (или) документации о конкурентной закупке в качестве обеспечения заявки на участие в конкурентной закупке, возвращаются на счет участника закупки в течение не более чем семи рабочих дней с даты наступления одного из следующих случаев:</w:t>
            </w:r>
          </w:p>
          <w:p w14:paraId="0B010000">
            <w:pPr>
              <w:spacing w:after="0" w:line="240" w:lineRule="auto"/>
              <w:ind/>
              <w:jc w:val="both"/>
            </w:pPr>
            <w:r>
              <w:t>1) подписание протокола подведения итогов конкурентной закупки. При этом возврат осуществляется в отношении денежных средств всех участников закупки, за исключением победителя закупки, которому такие денежные средства возвращаются после заключения договора;</w:t>
            </w:r>
          </w:p>
          <w:p w14:paraId="0C010000">
            <w:pPr>
              <w:spacing w:after="0" w:line="240" w:lineRule="auto"/>
              <w:ind/>
              <w:jc w:val="both"/>
            </w:pPr>
            <w:r>
              <w:t>2) отмена закупки;</w:t>
            </w:r>
          </w:p>
          <w:p w14:paraId="0D010000">
            <w:pPr>
              <w:spacing w:after="0" w:line="240" w:lineRule="auto"/>
              <w:ind/>
              <w:jc w:val="both"/>
            </w:pPr>
            <w:r>
              <w:t>3) отклонение заявки участника закупки;</w:t>
            </w:r>
          </w:p>
          <w:p w14:paraId="0E010000">
            <w:pPr>
              <w:spacing w:after="0" w:line="240" w:lineRule="auto"/>
              <w:ind/>
              <w:jc w:val="both"/>
            </w:pPr>
            <w:r>
              <w:t>4) отзыв заявки участником закупки до окончания срока подачи заявок;</w:t>
            </w:r>
          </w:p>
          <w:p w14:paraId="0F010000">
            <w:pPr>
              <w:spacing w:after="0" w:line="240" w:lineRule="auto"/>
              <w:ind/>
              <w:jc w:val="both"/>
            </w:pPr>
            <w:r>
              <w:t>5) получение заявки на участие в закупке после окончания срока подачи заявок;</w:t>
            </w:r>
          </w:p>
          <w:p w14:paraId="10010000">
            <w:pPr>
              <w:spacing w:after="0" w:line="240" w:lineRule="auto"/>
              <w:ind/>
              <w:jc w:val="both"/>
            </w:pPr>
            <w:r>
              <w:t>6) отстранение участника закупки от участия в закупке или отказ от заключения договора с победителем закупки.</w:t>
            </w:r>
          </w:p>
          <w:p w14:paraId="11010000">
            <w:pPr>
              <w:spacing w:after="0" w:line="240" w:lineRule="auto"/>
              <w:ind/>
              <w:jc w:val="both"/>
            </w:pPr>
            <w:r>
              <w:t>Возврат банковской гарантии, предоставленной для обеспечения заявки на участие в конкурентной закупке, в случаях, предусмотренных подпунктами 1-6 пункта 9.18 раздела</w:t>
            </w:r>
            <w:r>
              <w:t xml:space="preserve"> 9 Положения о закупке</w:t>
            </w:r>
            <w:r>
              <w:t xml:space="preserve"> заказчиком гаранту, предоставившим банковскую гарантию, не осуществляется, взыскание по ней не производится.</w:t>
            </w:r>
          </w:p>
          <w:p w14:paraId="12010000">
            <w:pPr>
              <w:spacing w:after="0" w:line="240" w:lineRule="auto"/>
              <w:ind/>
              <w:jc w:val="both"/>
            </w:pPr>
            <w:r>
              <w:t xml:space="preserve">Возврат денежных средств, внесенных в качестве обеспечения заявок, не осуществляется, либо предъявляется требование об уплате денежных сумм по банковской гарантии, а в случае проведения закупок в электронной форме денежные средства, внесенные в качестве </w:t>
            </w:r>
            <w:r>
              <w:t>обеспечения заявок, перечисляются на счет, который указан заказчиком, в следующих случаях:</w:t>
            </w:r>
          </w:p>
          <w:p w14:paraId="13010000">
            <w:pPr>
              <w:spacing w:after="0" w:line="240" w:lineRule="auto"/>
              <w:ind/>
              <w:jc w:val="both"/>
            </w:pPr>
            <w:r>
              <w:t>1) уклонение или отказ участника закупки от заключения договора;</w:t>
            </w:r>
          </w:p>
          <w:p w14:paraId="14010000">
            <w:pPr>
              <w:spacing w:after="0" w:line="240" w:lineRule="auto"/>
              <w:ind/>
              <w:jc w:val="both"/>
            </w:pPr>
            <w:r>
              <w:t>2) непредоставление или предоставление с нарушением условий, установленных</w:t>
            </w:r>
            <w:r>
              <w:t xml:space="preserve"> </w:t>
            </w:r>
            <w:r>
              <w:t>Положением</w:t>
            </w:r>
            <w:r>
              <w:t xml:space="preserve"> о закупке</w:t>
            </w:r>
            <w:r>
              <w:t>, Законом № 223-ФЗ, до заключения договора заказчику обеспечения исполнения договора (в случае, если в извещении об осуществлении закупки, документации о закупке (при наличии) установлены требования обеспечения исполнения договора и срок его предоставления до заключения договора).</w:t>
            </w:r>
          </w:p>
          <w:p w14:paraId="15010000">
            <w:pPr>
              <w:spacing w:after="0" w:line="240" w:lineRule="auto"/>
              <w:ind/>
              <w:jc w:val="both"/>
            </w:pPr>
            <w:r>
              <w:t>Требование об обеспечении заявки на участие в определении поставщика (подрядчика, исполнителя) в равной мере относится ко всем участникам закупки, за исключением государственных, муниципальных учреждений, которые не предоставляют обеспечение подаваемых ими заявок на участие в определении поставщиков (подрядчиков, исполнителей).</w:t>
            </w:r>
          </w:p>
        </w:tc>
      </w:tr>
      <w:tr>
        <w:trPr>
          <w:trHeight w:hRule="atLeast" w:val="161"/>
        </w:trPr>
        <w:tc>
          <w:tcPr>
            <w:tcW w:type="dxa" w:w="516"/>
            <w:tcBorders>
              <w:top w:color="000000" w:sz="4" w:val="single"/>
              <w:left w:color="000000" w:sz="4" w:val="single"/>
              <w:bottom w:color="000000" w:sz="4" w:val="single"/>
              <w:right w:color="000000" w:sz="4" w:val="single"/>
            </w:tcBorders>
            <w:shd w:fill="auto" w:val="clear"/>
          </w:tcPr>
          <w:p w14:paraId="1601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17010000">
            <w:pPr>
              <w:spacing w:after="0" w:line="240" w:lineRule="auto"/>
              <w:ind/>
              <w:jc w:val="both"/>
            </w:pPr>
            <w:r>
              <w:t>Срок и п</w:t>
            </w:r>
            <w:r>
              <w:t xml:space="preserve">орядок предоставления обеспечения исполнения </w:t>
            </w:r>
            <w:r>
              <w:t>договора</w:t>
            </w:r>
            <w:r>
              <w:t xml:space="preserve"> и гарантийных обязательств</w:t>
            </w:r>
            <w:r>
              <w:t>.</w:t>
            </w:r>
          </w:p>
        </w:tc>
        <w:tc>
          <w:tcPr>
            <w:tcW w:type="dxa" w:w="7748"/>
            <w:tcBorders>
              <w:top w:color="000000" w:sz="4" w:val="single"/>
              <w:left w:color="000000" w:sz="4" w:val="single"/>
              <w:bottom w:color="000000" w:sz="4" w:val="single"/>
              <w:right w:color="000000" w:sz="4" w:val="single"/>
            </w:tcBorders>
            <w:shd w:fill="auto" w:val="clear"/>
          </w:tcPr>
          <w:p w14:paraId="18010000">
            <w:pPr>
              <w:spacing w:after="0" w:line="240" w:lineRule="auto"/>
              <w:ind/>
              <w:jc w:val="both"/>
            </w:pPr>
            <w:r>
              <w:t xml:space="preserve">Исполнение договора, гарантийные обязательства могут обеспечиваться предоставлением банковской гарантии, соответствующей требованиям раздела 9 Положения о закупке заказчика,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 или иным способом, предусмотренным извещением и (или) документацией о закупке (при наличии). </w:t>
            </w:r>
          </w:p>
          <w:p w14:paraId="19010000">
            <w:pPr>
              <w:spacing w:after="0" w:line="240" w:lineRule="auto"/>
              <w:ind/>
              <w:jc w:val="both"/>
            </w:pPr>
            <w:r>
              <w:t>Способ обеспечения исполнения договора, гарантийных обязательств, срок действия банковской гарантии определяются в соответствии с требованиями настоящего Положения участником закупки, с которым заключается договор, самостоятельно.</w:t>
            </w:r>
          </w:p>
          <w:p w14:paraId="1A010000">
            <w:pPr>
              <w:spacing w:after="0" w:line="240" w:lineRule="auto"/>
              <w:ind/>
              <w:jc w:val="both"/>
            </w:pPr>
            <w:r>
              <w:t>Если в извещении об осуществлении конкурентной закупки, документации о конкурентной закупке, осуществляемой в соответствии с разделом 15</w:t>
            </w:r>
            <w:r>
              <w:t xml:space="preserve"> </w:t>
            </w:r>
            <w:r>
              <w:t>Положения</w:t>
            </w:r>
            <w:r>
              <w:t xml:space="preserve"> о закупке</w:t>
            </w:r>
            <w:r>
              <w:t xml:space="preserve">, установлено требование к обеспечению исполнения договора, такое обеспечение может предоставляться участником конкурентной закупки по его выбору путем внесения денежных средств на счет, указанный заказчиком в извещении об осуществлении конкурентной закупки, документации о конкурентной закупке, либо путем предоставления независимой гарантии, </w:t>
            </w:r>
            <w:r>
              <w:t>соответствующей требованиям раздела 9</w:t>
            </w:r>
            <w:r>
              <w:t xml:space="preserve"> </w:t>
            </w:r>
            <w:r>
              <w:t>Положения</w:t>
            </w:r>
            <w:r>
              <w:t xml:space="preserve"> о закупке</w:t>
            </w:r>
            <w:r>
              <w:t>. При этом такая независимая гарантия:</w:t>
            </w:r>
          </w:p>
          <w:p w14:paraId="1B010000">
            <w:pPr>
              <w:spacing w:after="0" w:line="240" w:lineRule="auto"/>
              <w:ind/>
              <w:jc w:val="both"/>
            </w:pPr>
            <w:r>
              <w:t xml:space="preserve">1) должна содержать указание на срок ее действия, который не может составлять менее одного месяца с даты </w:t>
            </w:r>
            <w:r>
              <w:t>окончания,</w:t>
            </w:r>
            <w:r>
              <w:t xml:space="preserve"> предусмотренного извещением об осуществлении конкурентной закупки с участием субъектов малого и среднего предпринимательства, документацией о такой закупке срока исполнения основного обязательства;</w:t>
            </w:r>
          </w:p>
          <w:p w14:paraId="1C010000">
            <w:pPr>
              <w:spacing w:after="0" w:line="240" w:lineRule="auto"/>
              <w:ind/>
              <w:jc w:val="both"/>
            </w:pPr>
            <w:r>
              <w:t>2) не должна содержать условие о предоставлении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14:paraId="1D010000">
            <w:pPr>
              <w:spacing w:after="0" w:line="240" w:lineRule="auto"/>
              <w:ind/>
              <w:jc w:val="both"/>
            </w:pPr>
            <w:r>
              <w:t>Договор заключается после предоставления участником закупки, с которым заключается договор, обеспечения исполнения договора в соответствии с Положением</w:t>
            </w:r>
            <w:r>
              <w:t xml:space="preserve"> о закупке</w:t>
            </w:r>
            <w:r>
              <w:t>.</w:t>
            </w:r>
          </w:p>
          <w:p w14:paraId="1E010000">
            <w:pPr>
              <w:spacing w:after="0" w:line="240" w:lineRule="auto"/>
              <w:ind/>
              <w:jc w:val="both"/>
            </w:pPr>
            <w:r>
              <w:t>В случае непредоставления участником закупки,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p>
          <w:p w14:paraId="1F010000">
            <w:pPr>
              <w:spacing w:after="0" w:line="240" w:lineRule="auto"/>
              <w:ind/>
              <w:jc w:val="both"/>
              <w:rPr>
                <w:b w:val="1"/>
              </w:rPr>
            </w:pPr>
            <w:r>
              <w:rPr>
                <w:b w:val="1"/>
              </w:rPr>
              <w:t>Антидемпинговые меры:</w:t>
            </w:r>
          </w:p>
          <w:p w14:paraId="20010000">
            <w:pPr>
              <w:spacing w:after="0" w:line="240" w:lineRule="auto"/>
              <w:ind/>
              <w:jc w:val="both"/>
            </w:pPr>
            <w:r>
              <w:t xml:space="preserve">1. Если при проведении конкурентной закупки начальная (максимальная) цена договора составляет более чем пятнадцать миллионов рублей и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 либо предложена сумма цен единиц товара, работы, услуги, которая на двадцать пять и более процентов ниже начальной суммы цен указанных единиц, договор заключается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пункте 25 части 1 «Информационная карта» документации о закупке, но не менее чем в размере аванса (если договором предусмотрена выплата аванса). В случае осуществления конкурентной закупки, предусмотренной разделом 15 Положения о закупке заказчика, размер такого обеспечения исполнения договора в любом случае не может превышать значения, установленного в пункте 25 Положения об особенностях участия субъектов малого и среднего предпринимательства в закупках товаров, работ, услуг отдельными </w:t>
            </w:r>
            <w:r>
              <w:t>видами юридических лиц, годовом объеме таких закупок и порядке расчета указанного объема (утв. постановлением Правительства РФ от 11 декабря 2014 года № 1352).</w:t>
            </w:r>
          </w:p>
          <w:p w14:paraId="21010000">
            <w:pPr>
              <w:spacing w:after="0" w:line="240" w:lineRule="auto"/>
              <w:ind/>
              <w:jc w:val="both"/>
            </w:pPr>
            <w:r>
              <w:t>2. Если при проведении конкурентной закупки начальная (максимальная) цена договора составляет пятнадцать миллионов рублей и менее и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 либо предложена сумма цен единиц товара, работы, услуги, которая на двадцать пять и более процентов ниже начальной суммы цен указанных единиц, договор заключается только после предоставления таким участником обеспечения исполнения договора в размере, указанном в пункте 1 антидемпинговых мер, или информации, подтверждающей добросовестность такого участника в соответствии с пунктом 3 антидемпинговых  мер, с одновременным предоставлением таким участником обеспечения исполнения договора в размере обеспечения исполнения договора, указанном в извещении и в документации о закупке (при наличии). В случае осуществления конкурентной закупки, предусмотренной разделом 15 Положения о закупке, размер такого обеспечения исполнения договора в любом случае не может превышать значения, установленного в пункте 25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 постановлением Правительства РФ от 11 декабря 2014 года № 1352).</w:t>
            </w:r>
          </w:p>
          <w:p w14:paraId="22010000">
            <w:pPr>
              <w:spacing w:after="0" w:line="240" w:lineRule="auto"/>
              <w:ind/>
              <w:jc w:val="both"/>
            </w:pPr>
            <w:r>
              <w:t>3. К информации, подтверждающей добросовестность участника закупки, относится информация, содержащаяся в реестре договоров (контрактов), заключенных заказчиками, и подтверждающая исполнение таким участником в течение трех лет до даты подачи заявки на участие в закупке трех договоров (контрактов) (с учетом правопреемства), исполненных без применения к такому участнику неустоек (штрафов, пеней). При этом цена одного из таких договоров (контрактов) должна составлять не менее чем двадцать процентов начальной (максимальной) цены договора, указанной в извещении об осуществлении закупки и документации о закупке (при наличии).</w:t>
            </w:r>
          </w:p>
          <w:p w14:paraId="23010000">
            <w:pPr>
              <w:spacing w:after="0" w:line="240" w:lineRule="auto"/>
              <w:ind/>
              <w:jc w:val="both"/>
            </w:pPr>
            <w:r>
              <w:t xml:space="preserve">4. В случае проведения конкурентной закупки информация, предусмотренная пунктом </w:t>
            </w:r>
            <w:r>
              <w:t>3</w:t>
            </w:r>
            <w:r>
              <w:t xml:space="preserve"> </w:t>
            </w:r>
            <w:r>
              <w:t>антидемпинговых мер</w:t>
            </w:r>
            <w:r>
              <w:t xml:space="preserve">, предоставляется участником закупки при направлении заказчику подписанного проекта договора. При невыполнении таким участником, признанным победителем закупки, данного требования или признании комиссией по осуществлению закупок информации, предусмотренной пунктом 3 </w:t>
            </w:r>
            <w:r>
              <w:t>антидемпинговых мер</w:t>
            </w:r>
            <w:r>
              <w:t>, недостоверной договор с таким участником не заключается, и он признается уклонившимся от заключения договора. В этом случае решение комиссии по осуществлению закупок оформляется протоколом, который размещается заказчиком в ЕИС не позднее рабочего дня, следующего за днем подписания указанного протокола.</w:t>
            </w:r>
          </w:p>
          <w:p w14:paraId="24010000">
            <w:pPr>
              <w:spacing w:after="0" w:line="240" w:lineRule="auto"/>
              <w:ind/>
              <w:jc w:val="both"/>
            </w:pPr>
            <w:r>
              <w:t xml:space="preserve">5. Обеспечение, указанное в пунктах 1 и 2 </w:t>
            </w:r>
            <w:r>
              <w:t>антидемпинговых мер</w:t>
            </w:r>
            <w:r>
              <w:t>, предоставляется участником закупки, с которым заключается договор, до его заключения. Участник закупки, не выполнивший данного требования, признается уклонившимся от заключения договора. В этом случае уклонение участника закупки от заключения договора оформляется протоколом, который размещается в ЕИС и доводится до сведения всех участников закупки не позднее рабочего дня, следующего за днем подписания указанного протокола.</w:t>
            </w:r>
          </w:p>
          <w:p w14:paraId="25010000">
            <w:pPr>
              <w:spacing w:after="0" w:line="240" w:lineRule="auto"/>
              <w:ind/>
              <w:jc w:val="both"/>
            </w:pPr>
            <w:r>
              <w:t>6. При проведении конкурсов в целях заключения договоров на выполнение научно-исследовательских, опытно-конструкторских или технологических работ, оказание консультационных услуг заказчик вправе установить в конкурсной документации различные величины значимости критериев оценки заявок для случаев подачи участником конкурса заявки, содержащей предложение о цене договора, которая:</w:t>
            </w:r>
          </w:p>
          <w:p w14:paraId="26010000">
            <w:pPr>
              <w:spacing w:after="0" w:line="240" w:lineRule="auto"/>
              <w:ind/>
              <w:jc w:val="both"/>
            </w:pPr>
            <w:r>
              <w:t>1) до двадцати пяти процентов ниже начальной (максимальной) цены договора;</w:t>
            </w:r>
          </w:p>
          <w:p w14:paraId="27010000">
            <w:pPr>
              <w:spacing w:after="0" w:line="240" w:lineRule="auto"/>
              <w:ind/>
              <w:jc w:val="both"/>
            </w:pPr>
            <w:r>
              <w:t>2) на двадцать пять и более процентов ниже начальной (максимальной) цены договора.</w:t>
            </w:r>
          </w:p>
          <w:p w14:paraId="28010000">
            <w:pPr>
              <w:spacing w:after="0" w:line="240" w:lineRule="auto"/>
              <w:ind/>
              <w:jc w:val="both"/>
            </w:pPr>
            <w:r>
              <w:t xml:space="preserve">7. В случаях, предусмотренных подпунктом 2 пункта 6 </w:t>
            </w:r>
            <w:r>
              <w:t>антидемпинговых мер</w:t>
            </w:r>
            <w:r>
              <w:t>, величина значимости такого критерия, как цена договора, устанавливается равной десяти процентам суммы величин значимости всех критериев оценки заявок.</w:t>
            </w:r>
          </w:p>
          <w:p w14:paraId="29010000">
            <w:pPr>
              <w:spacing w:after="0" w:line="240" w:lineRule="auto"/>
              <w:ind/>
              <w:jc w:val="both"/>
            </w:pPr>
            <w:r>
              <w:t xml:space="preserve">8. Если предметом договора, для заключения которого проводится конкурентная закупка, является поставка товара, необходимого для </w:t>
            </w:r>
            <w:r>
              <w:t>нормального жизнеобеспечения (продовольствие, средства для оказания скорой, в том числе скорой специализированной, медицинской помощи в экстренной или неотложной форме, лекарственные средства, топливо), участник закупки, предложивший цену договора, сумму цен единиц товара на двадцать пять и более процентов ниже начальной (максимальной) цены договора, начальной суммы цен единиц товара, наряду с требованиями, предусмотренными настоящим разделом, обязан представить заказчику обоснование предлагаемых цены договора, суммы цен единиц товара, которое может включать в себя гарантийное письмо от производителя с указанием цены и количества поставляемого товара (за исключением случая, если количество поставляемых товаров невозможно определить), документы, подтверждающие наличие товара у участника закупки, иные документы и расчеты, подтверждающие возможность участника закупки осуществить поставку товара по предлагаемым цене, сумме цен единиц товара.</w:t>
            </w:r>
          </w:p>
          <w:p w14:paraId="2A010000">
            <w:pPr>
              <w:spacing w:after="0" w:line="240" w:lineRule="auto"/>
              <w:ind/>
              <w:jc w:val="both"/>
            </w:pPr>
            <w:r>
              <w:t>9. Обоснование, указанное в пункте 8 антидемпинговых мер, представляется участником закупки, с которым заключается договор, при направлении заказчику подписанного проекта договора при проведении конкурентной закупки. В случае невыполнения таким участником данного требования он признается уклонившимся от заключения договора. При признании комиссией по осуществлению закупок предложенных цены договора, суммы цен единиц товара необоснованными, договор с таким участником не заключается и право заключения договора переходит к участнику закупки, который предложил такие же, как и победитель этой конкурентной закупки, цену договора, сумму цен единиц товара или предложение о цене договора которого содержит лучшие условия по цене договора, следующие после условий, предложенных победителем этой конкурентной закупки. В этих случаях решение комиссии по осуществлению закупок оформляется протоколом, который размещается в ЕИС и доводится до сведения всех участников закупки не позднее рабочего дня, следующего за днем подписания указанного протокола.</w:t>
            </w:r>
          </w:p>
          <w:p w14:paraId="2B010000">
            <w:pPr>
              <w:spacing w:after="0" w:line="240" w:lineRule="auto"/>
              <w:ind/>
              <w:jc w:val="both"/>
            </w:pPr>
            <w:r>
              <w:t xml:space="preserve">10. В случае признания победителя конкурентной закупки уклонившимся от заключения договора на участника закупки, с которым в соответствии </w:t>
            </w:r>
            <w:r>
              <w:t>с Положен</w:t>
            </w:r>
            <w:r>
              <w:t>ием о закупке</w:t>
            </w:r>
            <w:r>
              <w:t xml:space="preserve"> заключается договор, распространяются требования настоящего раздела в полном объеме.</w:t>
            </w:r>
          </w:p>
          <w:p w14:paraId="2C010000">
            <w:pPr>
              <w:spacing w:after="0" w:line="240" w:lineRule="auto"/>
              <w:ind/>
              <w:jc w:val="both"/>
            </w:pPr>
            <w:r>
              <w:t>11. Положения антидемпинговых мер не применяются в случае, если при осуществлении закупок лекарственных препаратов, которые включены в утвержденный Правительством Российской Федерации перечень жизненно необходимых и важнейших лекарственных препаратов, участником закупки, с которым заключается договор, предложена цена всех закупаемых лекарственных препаратов, сниженная не более чем на двадцать пять процентов относительно их зарегистрированной в соответствии с законодательством об обращении лекарственных средств предельной отпускной цены.</w:t>
            </w:r>
          </w:p>
          <w:p w14:paraId="2D010000">
            <w:pPr>
              <w:spacing w:after="0" w:line="240" w:lineRule="auto"/>
              <w:ind/>
              <w:jc w:val="both"/>
            </w:pPr>
            <w:r>
              <w:t>13. Выплата аванса при исполнении договора, заключенного с участником закупки, указанным в пункте 1 или 2 антидемпинговых мер, не допускается. При осуществления конкурентной закупки, предусмотренной разделом 15 Положения о закупке, размер обеспечения исполнения договора в этом случае не может превышать значения, установленного в пункте 25 Положения об особенностях участия субъектов малого и среднего предпринимательства в закупках товаров, работ, услуг отдельными видами юридических лиц, годовом объеме таких закупок и порядке расчета указанного объема (утв. постановлением Правительства РФ от 11 декабря 2014 года № 1352).</w:t>
            </w:r>
          </w:p>
        </w:tc>
      </w:tr>
      <w:tr>
        <w:trPr>
          <w:trHeight w:hRule="atLeast" w:val="70"/>
        </w:trPr>
        <w:tc>
          <w:tcPr>
            <w:tcW w:type="dxa" w:w="516"/>
            <w:tcBorders>
              <w:top w:color="000000" w:sz="4" w:val="single"/>
              <w:left w:color="000000" w:sz="4" w:val="single"/>
              <w:bottom w:color="000000" w:sz="4" w:val="single"/>
              <w:right w:color="000000" w:sz="4" w:val="single"/>
            </w:tcBorders>
            <w:shd w:fill="auto" w:val="clear"/>
          </w:tcPr>
          <w:p w14:paraId="2E01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2F010000">
            <w:pPr>
              <w:spacing w:after="0" w:line="240" w:lineRule="auto"/>
              <w:ind/>
              <w:jc w:val="both"/>
            </w:pPr>
            <w:r>
              <w:t xml:space="preserve">Валюта, используемая для формирования цены </w:t>
            </w:r>
            <w:r>
              <w:t>договора</w:t>
            </w:r>
            <w:r>
              <w:t xml:space="preserve"> и расчетов с поставщиками (подрядчиками, исполнителями).</w:t>
            </w:r>
          </w:p>
        </w:tc>
        <w:tc>
          <w:tcPr>
            <w:tcW w:type="dxa" w:w="7748"/>
            <w:tcBorders>
              <w:top w:color="000000" w:sz="4" w:val="single"/>
              <w:left w:color="000000" w:sz="4" w:val="single"/>
              <w:bottom w:color="000000" w:sz="4" w:val="single"/>
              <w:right w:color="000000" w:sz="4" w:val="single"/>
            </w:tcBorders>
            <w:shd w:fill="auto" w:val="clear"/>
          </w:tcPr>
          <w:p w14:paraId="30010000">
            <w:pPr>
              <w:spacing w:after="0" w:line="240" w:lineRule="auto"/>
              <w:ind/>
              <w:jc w:val="both"/>
            </w:pPr>
            <w:r>
              <w:t>Рубль РФ.</w:t>
            </w:r>
          </w:p>
        </w:tc>
      </w:tr>
      <w:tr>
        <w:trPr>
          <w:trHeight w:hRule="atLeast" w:val="276"/>
        </w:trPr>
        <w:tc>
          <w:tcPr>
            <w:tcW w:type="dxa" w:w="516"/>
            <w:tcBorders>
              <w:top w:color="000000" w:sz="4" w:val="single"/>
              <w:left w:color="000000" w:sz="4" w:val="single"/>
              <w:bottom w:color="000000" w:sz="4" w:val="single"/>
              <w:right w:color="000000" w:sz="4" w:val="single"/>
            </w:tcBorders>
            <w:shd w:fill="auto" w:val="clear"/>
          </w:tcPr>
          <w:p w14:paraId="3101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32010000">
            <w:pPr>
              <w:spacing w:after="0" w:line="240" w:lineRule="auto"/>
              <w:ind/>
              <w:jc w:val="both"/>
            </w:pPr>
            <w:r>
              <w:t xml:space="preserve">Порядок применения официального курса иностранной валюты к рублю РФ, установленного Центральным банком РФ и используемого при оплате </w:t>
            </w:r>
            <w:r>
              <w:t>договора</w:t>
            </w:r>
            <w:r>
              <w:t>.</w:t>
            </w:r>
          </w:p>
        </w:tc>
        <w:tc>
          <w:tcPr>
            <w:tcW w:type="dxa" w:w="7748"/>
            <w:tcBorders>
              <w:top w:color="000000" w:sz="4" w:val="single"/>
              <w:left w:color="000000" w:sz="4" w:val="single"/>
              <w:bottom w:color="000000" w:sz="4" w:val="single"/>
              <w:right w:color="000000" w:sz="4" w:val="single"/>
            </w:tcBorders>
            <w:shd w:fill="auto" w:val="clear"/>
          </w:tcPr>
          <w:p w14:paraId="33010000">
            <w:pPr>
              <w:spacing w:after="0" w:line="240" w:lineRule="auto"/>
              <w:ind/>
              <w:jc w:val="both"/>
            </w:pPr>
            <w:r>
              <w:t xml:space="preserve">Официальным курсом иностранной валюты к рублю РФ и используемым при оплате </w:t>
            </w:r>
            <w:r>
              <w:t>договора</w:t>
            </w:r>
            <w:r>
              <w:t xml:space="preserve">, является курс, установленный Центральным банком РФ, на день каждого перечисления средств по </w:t>
            </w:r>
            <w:r>
              <w:t>договору</w:t>
            </w:r>
            <w:r>
              <w:t>.</w:t>
            </w:r>
          </w:p>
        </w:tc>
      </w:tr>
      <w:tr>
        <w:tc>
          <w:tcPr>
            <w:tcW w:type="dxa" w:w="516"/>
            <w:tcBorders>
              <w:top w:color="000000" w:sz="4" w:val="single"/>
              <w:left w:color="000000" w:sz="4" w:val="single"/>
              <w:bottom w:color="000000" w:sz="4" w:val="single"/>
              <w:right w:color="000000" w:sz="4" w:val="single"/>
            </w:tcBorders>
            <w:shd w:fill="auto" w:val="clear"/>
          </w:tcPr>
          <w:p w14:paraId="3401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35010000">
            <w:pPr>
              <w:spacing w:after="0" w:line="240" w:lineRule="auto"/>
              <w:ind/>
              <w:jc w:val="both"/>
            </w:pPr>
            <w:r>
              <w:t>Возможность при заключении договора по согласованию заказчика с поставщиком, увеличить количество поставляемого товара, объем выполняемых работ, оказываемых услуг на сумму, не превышающую разницы между предложенной ценой договора и начальной (максимальной) ценой договора (ценой лота) в соответствии с пунктом 22.11 Положения о закупке.</w:t>
            </w:r>
          </w:p>
        </w:tc>
        <w:tc>
          <w:tcPr>
            <w:tcW w:type="dxa" w:w="7748"/>
            <w:tcBorders>
              <w:top w:color="000000" w:sz="4" w:val="single"/>
              <w:left w:color="000000" w:sz="4" w:val="single"/>
              <w:bottom w:color="000000" w:sz="4" w:val="single"/>
              <w:right w:color="000000" w:sz="4" w:val="single"/>
            </w:tcBorders>
            <w:shd w:fill="auto" w:val="clear"/>
          </w:tcPr>
          <w:p w14:paraId="36010000">
            <w:pPr>
              <w:spacing w:after="0" w:line="240" w:lineRule="auto"/>
              <w:ind/>
              <w:jc w:val="both"/>
            </w:pPr>
            <w:r>
              <w:t>Не</w:t>
            </w:r>
            <w:r>
              <w:t xml:space="preserve"> </w:t>
            </w:r>
            <w:r>
              <w:t>установлена</w:t>
            </w:r>
          </w:p>
        </w:tc>
      </w:tr>
      <w:tr>
        <w:tc>
          <w:tcPr>
            <w:tcW w:type="dxa" w:w="516"/>
            <w:tcBorders>
              <w:top w:color="000000" w:sz="4" w:val="single"/>
              <w:left w:color="000000" w:sz="4" w:val="single"/>
              <w:bottom w:color="000000" w:sz="4" w:val="single"/>
              <w:right w:color="000000" w:sz="4" w:val="single"/>
            </w:tcBorders>
            <w:shd w:fill="auto" w:val="clear"/>
          </w:tcPr>
          <w:p w14:paraId="3701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38010000">
            <w:pPr>
              <w:spacing w:after="0" w:line="240" w:lineRule="auto"/>
              <w:ind/>
              <w:jc w:val="both"/>
            </w:pPr>
            <w:r>
              <w:t xml:space="preserve">Срок, в течение которого победитель </w:t>
            </w:r>
            <w:r>
              <w:t>аукциона</w:t>
            </w:r>
            <w:r>
              <w:t xml:space="preserve"> или иной участник, с которым заключается </w:t>
            </w:r>
            <w:r>
              <w:t>договор</w:t>
            </w:r>
            <w:r>
              <w:t xml:space="preserve"> при уклонении </w:t>
            </w:r>
            <w:r>
              <w:t xml:space="preserve">победителя </w:t>
            </w:r>
            <w:r>
              <w:t>аукциона</w:t>
            </w:r>
            <w:r>
              <w:t xml:space="preserve"> </w:t>
            </w:r>
            <w:r>
              <w:t xml:space="preserve">от заключения </w:t>
            </w:r>
            <w:r>
              <w:t>договора</w:t>
            </w:r>
            <w:r>
              <w:t xml:space="preserve">, должен подписать </w:t>
            </w:r>
            <w:r>
              <w:t>договор</w:t>
            </w:r>
            <w:r>
              <w:t>.</w:t>
            </w:r>
          </w:p>
          <w:p w14:paraId="39010000">
            <w:pPr>
              <w:spacing w:after="0" w:line="240" w:lineRule="auto"/>
              <w:ind/>
              <w:jc w:val="both"/>
            </w:pPr>
          </w:p>
        </w:tc>
        <w:tc>
          <w:tcPr>
            <w:tcW w:type="dxa" w:w="7748"/>
            <w:tcBorders>
              <w:top w:color="000000" w:sz="4" w:val="single"/>
              <w:left w:color="000000" w:sz="4" w:val="single"/>
              <w:bottom w:color="000000" w:sz="4" w:val="single"/>
              <w:right w:color="000000" w:sz="4" w:val="single"/>
            </w:tcBorders>
            <w:shd w:fill="auto" w:val="clear"/>
          </w:tcPr>
          <w:p w14:paraId="3A010000">
            <w:pPr>
              <w:spacing w:after="0" w:line="240" w:lineRule="auto"/>
              <w:ind/>
              <w:jc w:val="both"/>
            </w:pPr>
            <w:r>
              <w:t xml:space="preserve">В течение пяти дней с даты размещения заказчиком на ЭП проекта договора победитель </w:t>
            </w:r>
            <w:r>
              <w:t>конкурентной закупки</w:t>
            </w:r>
            <w:r>
              <w:t xml:space="preserve"> подписывает усиленной </w:t>
            </w:r>
            <w:r>
              <w:t>электронной подписью указанный проект договора, размещает на электронной площадке подписанный проект договора и документ, подтверждающий предоставление обеспечения исполнения договора, если данное требование установлено в извещении и (или) документации о закупке</w:t>
            </w:r>
            <w:r>
              <w:t xml:space="preserve"> (при наличии)</w:t>
            </w:r>
            <w:r>
              <w:t>, либо размещает протокол разногласий.</w:t>
            </w:r>
          </w:p>
          <w:p w14:paraId="3B010000">
            <w:pPr>
              <w:spacing w:after="0" w:line="240" w:lineRule="auto"/>
              <w:ind/>
              <w:jc w:val="both"/>
            </w:pPr>
            <w:r>
              <w:t xml:space="preserve">В течение трех рабочих дней с даты размещения заказчиком на ЭП доработанного проекта договора либо повторного размещения на ЭП проекта договора с документом, содержащим причины отказа учесть полностью или частично содержащиеся в протоколе разногласий замечания победителя </w:t>
            </w:r>
            <w:r>
              <w:t>конкурентной закупки</w:t>
            </w:r>
            <w:r>
              <w:t xml:space="preserve">, победитель </w:t>
            </w:r>
            <w:r>
              <w:t>конкурентной закупки</w:t>
            </w:r>
            <w:r>
              <w:t xml:space="preserve"> размещает на ЭП проект договора, подписанный усиленной электронной подписью лица, имеющего право действовать от имени такого победителя, а также документ</w:t>
            </w:r>
            <w:r>
              <w:t>,</w:t>
            </w:r>
            <w:r>
              <w:t xml:space="preserve"> </w:t>
            </w:r>
            <w:r>
              <w:t>подтверждающий предоставление обеспечения исполнения договора, если данное требование установлено в извещении и (или) документации о закупке</w:t>
            </w:r>
            <w:r>
              <w:t xml:space="preserve"> (при наличии)</w:t>
            </w:r>
            <w:r>
              <w:t>.</w:t>
            </w:r>
          </w:p>
          <w:p w14:paraId="3C010000">
            <w:pPr>
              <w:spacing w:after="0" w:line="240" w:lineRule="auto"/>
              <w:ind/>
              <w:jc w:val="both"/>
            </w:pPr>
            <w:r>
              <w:t>Договор по результатам конкурентной закупки заключается не ранее чем через десять дней и не позднее чем через двадцать дней с даты размещения в ЕИС итогового протокола, составленного по результатам конкурентной закупки.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tc>
      </w:tr>
      <w:tr>
        <w:trPr>
          <w:trHeight w:hRule="atLeast" w:val="948"/>
        </w:trPr>
        <w:tc>
          <w:tcPr>
            <w:tcW w:type="dxa" w:w="516"/>
            <w:tcBorders>
              <w:top w:color="000000" w:sz="4" w:val="single"/>
              <w:left w:color="000000" w:sz="4" w:val="single"/>
              <w:bottom w:color="000000" w:sz="4" w:val="single"/>
              <w:right w:color="000000" w:sz="4" w:val="single"/>
            </w:tcBorders>
            <w:shd w:fill="auto" w:val="clear"/>
          </w:tcPr>
          <w:p w14:paraId="3D01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3E010000">
            <w:pPr>
              <w:spacing w:after="0" w:line="240" w:lineRule="auto"/>
              <w:ind/>
              <w:jc w:val="both"/>
            </w:pPr>
            <w:r>
              <w:t xml:space="preserve">Условия признания победителя </w:t>
            </w:r>
            <w:r>
              <w:t>закупки</w:t>
            </w:r>
            <w:r>
              <w:t xml:space="preserve"> </w:t>
            </w:r>
            <w:r>
              <w:t xml:space="preserve">уклонившимися от заключения </w:t>
            </w:r>
            <w:r>
              <w:t>договора</w:t>
            </w:r>
            <w:r>
              <w:t>.</w:t>
            </w:r>
          </w:p>
        </w:tc>
        <w:tc>
          <w:tcPr>
            <w:tcW w:type="dxa" w:w="7748"/>
            <w:tcBorders>
              <w:top w:color="000000" w:sz="4" w:val="single"/>
              <w:left w:color="000000" w:sz="4" w:val="single"/>
              <w:bottom w:color="000000" w:sz="4" w:val="single"/>
              <w:right w:color="000000" w:sz="4" w:val="single"/>
            </w:tcBorders>
            <w:shd w:fill="auto" w:val="clear"/>
          </w:tcPr>
          <w:p w14:paraId="3F010000">
            <w:pPr>
              <w:spacing w:after="0" w:line="240" w:lineRule="auto"/>
              <w:ind/>
              <w:jc w:val="both"/>
            </w:pPr>
            <w:r>
              <w:t xml:space="preserve">Победитель </w:t>
            </w:r>
            <w:r>
              <w:t>конкурентной закупки</w:t>
            </w:r>
            <w:r>
              <w:t xml:space="preserve"> (за исключением </w:t>
            </w:r>
            <w:r>
              <w:t>участника</w:t>
            </w:r>
            <w:r>
              <w:t xml:space="preserve"> заявке которого присвоен второй номер</w:t>
            </w:r>
            <w:r>
              <w:t xml:space="preserve">) признается заказчиком уклонившимся от заключения договора в случае, если в сроки, предусмотренные </w:t>
            </w:r>
            <w:r>
              <w:t xml:space="preserve">в пункте </w:t>
            </w:r>
            <w:r>
              <w:t xml:space="preserve">40 </w:t>
            </w:r>
            <w:r>
              <w:t>части 1 «</w:t>
            </w:r>
            <w:r>
              <w:t>Информационн</w:t>
            </w:r>
            <w:r>
              <w:t>ая</w:t>
            </w:r>
            <w:r>
              <w:t xml:space="preserve"> карт</w:t>
            </w:r>
            <w:r>
              <w:t>а» документации</w:t>
            </w:r>
            <w:r>
              <w:t xml:space="preserve">, он не направил заказчику проект договора, подписанный лицом, имеющим право действовать от имени такого победителя, или не направил протокол разногласий, или не исполнил </w:t>
            </w:r>
            <w:r>
              <w:t>антидемпинговые меры</w:t>
            </w:r>
            <w:r>
              <w:t xml:space="preserve"> в соответствии с </w:t>
            </w:r>
            <w:r>
              <w:t>пунктом</w:t>
            </w:r>
            <w:r>
              <w:t xml:space="preserve"> 36</w:t>
            </w:r>
            <w:r>
              <w:t xml:space="preserve"> части 1 «Информационн</w:t>
            </w:r>
            <w:r>
              <w:t>ая</w:t>
            </w:r>
            <w:r>
              <w:t xml:space="preserve"> карт</w:t>
            </w:r>
            <w:r>
              <w:t>а</w:t>
            </w:r>
            <w:r>
              <w:t xml:space="preserve">» документации </w:t>
            </w:r>
            <w:r>
              <w:t xml:space="preserve">(в случае снижения при проведении </w:t>
            </w:r>
            <w:r>
              <w:t xml:space="preserve">конкурентной </w:t>
            </w:r>
            <w:r>
              <w:t>закупки</w:t>
            </w:r>
            <w:r>
              <w:t xml:space="preserve"> цены договора, суммы цен единиц товара, работы, услуги на двадцать пять процентов и более от начальной (максимальной) цены договора, начальной суммы цен единиц товара, работы, услуги).</w:t>
            </w:r>
          </w:p>
          <w:p w14:paraId="40010000">
            <w:pPr>
              <w:spacing w:after="0" w:line="240" w:lineRule="auto"/>
              <w:ind/>
              <w:jc w:val="both"/>
            </w:pPr>
            <w:r>
              <w:t xml:space="preserve">В случае непредоставления участником закупки, с которым заключается </w:t>
            </w:r>
            <w:r>
              <w:t>договор</w:t>
            </w:r>
            <w:r>
              <w:t xml:space="preserve">, обеспечения исполнения </w:t>
            </w:r>
            <w:r>
              <w:t>договора</w:t>
            </w:r>
            <w:r>
              <w:t>, в том числе с учетом антидемпинговых мер согласно пункту 36 части 1 «Информационная карта» документации,</w:t>
            </w:r>
            <w:r>
              <w:t xml:space="preserve"> в срок, установленный для заключения </w:t>
            </w:r>
            <w:r>
              <w:t>договора</w:t>
            </w:r>
            <w:r>
              <w:t xml:space="preserve">, такой участник считается уклонившимся от заключения </w:t>
            </w:r>
            <w:r>
              <w:t>договора</w:t>
            </w:r>
            <w:r>
              <w:t>.</w:t>
            </w:r>
          </w:p>
          <w:p w14:paraId="41010000">
            <w:pPr>
              <w:spacing w:after="0" w:line="240" w:lineRule="auto"/>
              <w:ind/>
              <w:jc w:val="both"/>
            </w:pPr>
            <w:r>
              <w:t xml:space="preserve">В случае отказа заказчика от заключения договора с победителем </w:t>
            </w:r>
            <w:r>
              <w:t>закупки</w:t>
            </w:r>
            <w:r>
              <w:t xml:space="preserve"> по основани</w:t>
            </w:r>
            <w:r>
              <w:t>ю</w:t>
            </w:r>
            <w:r>
              <w:t>:</w:t>
            </w:r>
            <w:r>
              <w:t xml:space="preserve"> если предлагаемая участником закупки цена закупаемых лекарственных препаратов</w:t>
            </w:r>
            <w:r>
              <w:t xml:space="preserve">, которые включены в перечень жизненно необходимых и важнейших лекарственных препаратов </w:t>
            </w:r>
            <w:r>
              <w:t xml:space="preserve">(в случае, если участник закупки является производителем таких лекарственных препаратов или если при осуществлении закупок для обеспечения нужд заказчика начальная (максимальная) цена договора превышает размер, который установлен высшим исполнительным органом государственной власти субъекта </w:t>
            </w:r>
            <w:r>
              <w:t>РФ</w:t>
            </w:r>
            <w:r>
              <w:t xml:space="preserve"> и составляет не более десяти миллионов рублей) превышает их предельную отпускную цену, указанную в государственном реестре предельных отпускных цен производителей на лекарственные препараты, включенные в перечень жизненно необходимых и важнейших лекарственных препаратов, и от снижения предлагаемой цены при заключении договора участник закупки отказывается</w:t>
            </w:r>
            <w:r>
              <w:t>, победитель признается уклонившимся от заключения договора</w:t>
            </w:r>
            <w:r>
              <w:t>.</w:t>
            </w:r>
          </w:p>
        </w:tc>
      </w:tr>
      <w:tr>
        <w:trPr>
          <w:trHeight w:hRule="atLeast" w:val="243"/>
        </w:trPr>
        <w:tc>
          <w:tcPr>
            <w:tcW w:type="dxa" w:w="516"/>
            <w:tcBorders>
              <w:top w:color="000000" w:sz="4" w:val="single"/>
              <w:left w:color="000000" w:sz="4" w:val="single"/>
              <w:bottom w:color="000000" w:sz="4" w:val="single"/>
              <w:right w:color="000000" w:sz="4" w:val="single"/>
            </w:tcBorders>
            <w:shd w:fill="auto" w:val="clear"/>
          </w:tcPr>
          <w:p w14:paraId="4201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43010000">
            <w:pPr>
              <w:spacing w:after="0" w:line="240" w:lineRule="auto"/>
              <w:ind/>
              <w:jc w:val="both"/>
            </w:pPr>
            <w:r>
              <w:t xml:space="preserve">Возможность заказчика изменить условия </w:t>
            </w:r>
            <w:r>
              <w:t>договора</w:t>
            </w:r>
            <w:r>
              <w:t>.</w:t>
            </w:r>
          </w:p>
        </w:tc>
        <w:tc>
          <w:tcPr>
            <w:tcW w:type="dxa" w:w="7748"/>
            <w:tcBorders>
              <w:top w:color="000000" w:sz="4" w:val="single"/>
              <w:left w:color="000000" w:sz="4" w:val="single"/>
              <w:bottom w:color="000000" w:sz="4" w:val="single"/>
              <w:right w:color="000000" w:sz="4" w:val="single"/>
            </w:tcBorders>
            <w:shd w:fill="auto" w:val="clear"/>
          </w:tcPr>
          <w:p w14:paraId="44010000">
            <w:pPr>
              <w:spacing w:after="0" w:line="240" w:lineRule="auto"/>
              <w:ind/>
              <w:jc w:val="both"/>
            </w:pPr>
            <w:r>
              <w:t xml:space="preserve">В соответствии с </w:t>
            </w:r>
            <w:r>
              <w:t>частью 5 документации</w:t>
            </w:r>
            <w:r>
              <w:t>.</w:t>
            </w:r>
          </w:p>
        </w:tc>
      </w:tr>
      <w:tr>
        <w:trPr>
          <w:trHeight w:hRule="atLeast" w:val="70"/>
        </w:trPr>
        <w:tc>
          <w:tcPr>
            <w:tcW w:type="dxa" w:w="516"/>
            <w:tcBorders>
              <w:top w:color="000000" w:sz="4" w:val="single"/>
              <w:left w:color="000000" w:sz="4" w:val="single"/>
              <w:bottom w:color="000000" w:sz="4" w:val="single"/>
              <w:right w:color="000000" w:sz="4" w:val="single"/>
            </w:tcBorders>
            <w:shd w:fill="auto" w:val="clear"/>
          </w:tcPr>
          <w:p w14:paraId="45010000">
            <w:pPr>
              <w:pStyle w:val="Style_4"/>
              <w:numPr>
                <w:ilvl w:val="0"/>
                <w:numId w:val="1"/>
              </w:numPr>
              <w:ind w:firstLine="0" w:left="0"/>
              <w:jc w:val="center"/>
            </w:pPr>
          </w:p>
        </w:tc>
        <w:tc>
          <w:tcPr>
            <w:tcW w:type="dxa" w:w="6332"/>
            <w:tcBorders>
              <w:top w:color="000000" w:sz="4" w:val="single"/>
              <w:left w:color="000000" w:sz="4" w:val="single"/>
              <w:bottom w:color="000000" w:sz="4" w:val="single"/>
              <w:right w:color="000000" w:sz="4" w:val="single"/>
            </w:tcBorders>
            <w:shd w:fill="auto" w:val="clear"/>
          </w:tcPr>
          <w:p w14:paraId="46010000">
            <w:pPr>
              <w:spacing w:after="0" w:line="240" w:lineRule="auto"/>
              <w:ind/>
              <w:jc w:val="both"/>
            </w:pPr>
            <w:r>
              <w:t xml:space="preserve">Информация о возможности одностороннего отказа от исполнения </w:t>
            </w:r>
            <w:r>
              <w:t>договора</w:t>
            </w:r>
            <w:r>
              <w:t>.</w:t>
            </w:r>
          </w:p>
          <w:p w14:paraId="47010000">
            <w:pPr>
              <w:spacing w:after="0" w:line="240" w:lineRule="auto"/>
              <w:ind/>
              <w:jc w:val="both"/>
            </w:pPr>
          </w:p>
        </w:tc>
        <w:tc>
          <w:tcPr>
            <w:tcW w:type="dxa" w:w="7748"/>
            <w:tcBorders>
              <w:top w:color="000000" w:sz="4" w:val="single"/>
              <w:left w:color="000000" w:sz="4" w:val="single"/>
              <w:bottom w:color="000000" w:sz="4" w:val="single"/>
              <w:right w:color="000000" w:sz="4" w:val="single"/>
            </w:tcBorders>
            <w:shd w:fill="auto" w:val="clear"/>
          </w:tcPr>
          <w:p w14:paraId="48010000">
            <w:pPr>
              <w:spacing w:after="0" w:line="240" w:lineRule="auto"/>
              <w:ind/>
              <w:jc w:val="both"/>
            </w:pPr>
            <w:r>
              <w:t xml:space="preserve">Расторжение </w:t>
            </w:r>
            <w:r>
              <w:t xml:space="preserve">договора </w:t>
            </w:r>
            <w:r>
              <w:t xml:space="preserve">допускается в случае одностороннего отказа стороны </w:t>
            </w:r>
            <w:r>
              <w:t>договора</w:t>
            </w:r>
            <w:r>
              <w:t xml:space="preserve"> от исполнения </w:t>
            </w:r>
            <w:r>
              <w:t>договора</w:t>
            </w:r>
            <w:r>
              <w:t xml:space="preserve"> по основаниям, предусмотренным Гражданским кодексом РФ для одностороннего отказа от исполнения отдельных видов обязательств, при условии, что </w:t>
            </w:r>
            <w:r>
              <w:t>договор</w:t>
            </w:r>
            <w:r>
              <w:t xml:space="preserve"> содержит право заказчика принять решение об одностороннем отказе от исполнения </w:t>
            </w:r>
            <w:r>
              <w:t>договора</w:t>
            </w:r>
            <w:r>
              <w:t>.</w:t>
            </w:r>
          </w:p>
          <w:p w14:paraId="49010000">
            <w:pPr>
              <w:spacing w:after="0" w:line="240" w:lineRule="auto"/>
              <w:ind/>
              <w:jc w:val="both"/>
            </w:pPr>
            <w:r>
              <w:t xml:space="preserve">Заказчик обязан принять решение об одностороннем отказе от исполнения </w:t>
            </w:r>
            <w:r>
              <w:t>договора</w:t>
            </w:r>
            <w:r>
              <w:t xml:space="preserve">, если в ходе исполнения </w:t>
            </w:r>
            <w:r>
              <w:t>договора</w:t>
            </w:r>
            <w:r>
              <w:t xml:space="preserve"> установлено, что </w:t>
            </w:r>
            <w:r>
              <w:t>поставщик (подрядчик, исполнитель) и (или) поставляемый товар</w:t>
            </w:r>
            <w:r>
              <w:t>,</w:t>
            </w:r>
            <w:r>
              <w:t xml:space="preserve"> </w:t>
            </w:r>
            <w:r>
              <w:t>выполняемая работа, оказываемая услуга</w:t>
            </w:r>
            <w:r>
              <w:t xml:space="preserve"> не соответствуют</w:t>
            </w:r>
            <w:r>
              <w:t xml:space="preserve"> </w:t>
            </w:r>
            <w:r>
              <w:t>или перестали соответствовать</w:t>
            </w:r>
            <w:r>
              <w:t xml:space="preserve"> установленным извещением и (или) документацией </w:t>
            </w:r>
            <w:r>
              <w:t xml:space="preserve">о </w:t>
            </w:r>
            <w:r>
              <w:t>закупке (при наличии)</w:t>
            </w:r>
            <w:r>
              <w:t xml:space="preserve"> требованиям к участникам закупки</w:t>
            </w:r>
            <w:r>
              <w:t xml:space="preserve"> (за исключением требования, предусмотренного пунктом 12.2 (при наличии такого требования) раздела 12 Положения о закупке)</w:t>
            </w:r>
            <w:r>
              <w:t xml:space="preserve"> и (или) поставляемому товару</w:t>
            </w:r>
            <w:r>
              <w:t>,</w:t>
            </w:r>
            <w:r>
              <w:t xml:space="preserve"> </w:t>
            </w:r>
            <w:r>
              <w:t>выполняемой работе, оказываемой услуге</w:t>
            </w:r>
            <w:r>
              <w:t xml:space="preserve"> или представил недостоверную информацию о своем соответствии и (или) соответствии поставляемого товара</w:t>
            </w:r>
            <w:r>
              <w:t>,</w:t>
            </w:r>
            <w:r>
              <w:t xml:space="preserve"> </w:t>
            </w:r>
            <w:r>
              <w:t>выполняемой работы, оказываемой услуги</w:t>
            </w:r>
            <w:r>
              <w:t xml:space="preserve"> таким требованиям, что позволило ему стать победителем </w:t>
            </w:r>
            <w:r>
              <w:t>закупки</w:t>
            </w:r>
            <w:r>
              <w:t>.</w:t>
            </w:r>
          </w:p>
        </w:tc>
      </w:tr>
    </w:tbl>
    <w:p w14:paraId="4A010000"/>
    <w:sectPr>
      <w:headerReference r:id="rId1" w:type="default"/>
      <w:pgSz w:h="11906" w:orient="landscape" w:w="16838"/>
      <w:pgMar w:bottom="850" w:footer="708" w:gutter="0" w:header="708" w:left="1134" w:right="1134" w:top="851"/>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header1.xml><?xml version="1.0" encoding="utf-8"?>
<w:hdr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p w14:paraId="01000000">
    <w:pPr>
      <w:pStyle w:val="Style_1"/>
      <w:ind/>
      <w:jc w:val="right"/>
    </w:pPr>
    <w:r>
      <w:t>Версия с 01.01.2025 года</w:t>
    </w:r>
  </w:p>
  <w:p w14:paraId="02000000">
    <w:pPr>
      <w:pStyle w:val="Style_1"/>
      <w:ind/>
      <w:jc w:val="right"/>
    </w:pPr>
  </w:p>
</w:hdr>
</file>

<file path=word/numbering.xml><?xml version="1.0" encoding="utf-8"?>
<w:numbering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abstractNum w:abstractNumId="0">
    <w:lvl w:ilvl="0">
      <w:start w:val="1"/>
      <w:numFmt w:val="decimal"/>
      <w:lvlText w:val="%1."/>
      <w:lvlJc w:val="left"/>
      <w:pPr>
        <w:ind w:hanging="360" w:left="644"/>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num w:numId="1">
    <w:abstractNumId w:val="0"/>
  </w:num>
</w:numbering>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efaultTabStop w:val="708"/>
  <w:compat>
    <w:compatSetting w:name="compatibilityMode" w:uri="http://schemas.microsoft.com/office/word" w:val="15"/>
  </w:compat>
  <w:clrSchemeMapping w:accent1="accent1" w:accent2="accent2" w:accent3="accent3" w:accent4="accent4" w:accent5="accent5" w:accent6="accent6" w:bg1="light1" w:bg2="light2" w:followedHyperlink="followedHyperlink" w:hyperlink="hyperlink" w:t1="dark1" w:t2="dark2"/>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mc:Ignorable="co co-ooxml w14 x14 w15">
  <w:docDefaults>
    <w:rPrDefault>
      <w:rPr>
        <w:rFonts w:ascii="Calibri" w:hAnsi="Calibri"/>
        <w:color w:val="000000"/>
        <w:spacing w:val="0"/>
        <w:sz w:val="20"/>
      </w:rPr>
    </w:rPrDefault>
    <w:pPrDefault>
      <w:pPr>
        <w:spacing w:after="0" w:before="0" w:line="240" w:lineRule="auto"/>
        <w:ind w:firstLine="0" w:left="0" w:right="0"/>
        <w:jc w:val="left"/>
      </w:pPr>
    </w:pPrDefault>
  </w:docDefaults>
  <w:latentStyles w:count="24"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5" w:type="paragraph">
    <w:name w:val="Normal"/>
    <w:link w:val="Style_5_ch"/>
    <w:uiPriority w:val="0"/>
    <w:qFormat/>
    <w:pPr>
      <w:spacing w:after="200" w:line="276" w:lineRule="auto"/>
      <w:ind/>
    </w:pPr>
    <w:rPr>
      <w:rFonts w:ascii="Times New Roman" w:hAnsi="Times New Roman"/>
      <w:sz w:val="24"/>
    </w:rPr>
  </w:style>
  <w:style w:default="1" w:styleId="Style_5_ch" w:type="character">
    <w:name w:val="Normal"/>
    <w:link w:val="Style_5"/>
    <w:rPr>
      <w:rFonts w:ascii="Times New Roman" w:hAnsi="Times New Roman"/>
      <w:sz w:val="24"/>
    </w:rPr>
  </w:style>
  <w:style w:styleId="Style_6" w:type="paragraph">
    <w:name w:val="toc 2"/>
    <w:next w:val="Style_5"/>
    <w:link w:val="Style_6_ch"/>
    <w:uiPriority w:val="39"/>
    <w:pPr>
      <w:ind w:firstLine="0" w:left="200"/>
      <w:jc w:val="left"/>
    </w:pPr>
    <w:rPr>
      <w:rFonts w:ascii="XO Thames" w:hAnsi="XO Thames"/>
      <w:sz w:val="28"/>
    </w:rPr>
  </w:style>
  <w:style w:styleId="Style_6_ch" w:type="character">
    <w:name w:val="toc 2"/>
    <w:link w:val="Style_6"/>
    <w:rPr>
      <w:rFonts w:ascii="XO Thames" w:hAnsi="XO Thames"/>
      <w:sz w:val="28"/>
    </w:rPr>
  </w:style>
  <w:style w:styleId="Style_7" w:type="paragraph">
    <w:name w:val="toc 4"/>
    <w:next w:val="Style_5"/>
    <w:link w:val="Style_7_ch"/>
    <w:uiPriority w:val="39"/>
    <w:pPr>
      <w:ind w:firstLine="0" w:left="600"/>
      <w:jc w:val="left"/>
    </w:pPr>
    <w:rPr>
      <w:rFonts w:ascii="XO Thames" w:hAnsi="XO Thames"/>
      <w:sz w:val="28"/>
    </w:rPr>
  </w:style>
  <w:style w:styleId="Style_7_ch" w:type="character">
    <w:name w:val="toc 4"/>
    <w:link w:val="Style_7"/>
    <w:rPr>
      <w:rFonts w:ascii="XO Thames" w:hAnsi="XO Thames"/>
      <w:sz w:val="28"/>
    </w:rPr>
  </w:style>
  <w:style w:styleId="Style_8" w:type="paragraph">
    <w:name w:val="toc 6"/>
    <w:next w:val="Style_5"/>
    <w:link w:val="Style_8_ch"/>
    <w:uiPriority w:val="39"/>
    <w:pPr>
      <w:ind w:firstLine="0" w:left="1000"/>
      <w:jc w:val="left"/>
    </w:pPr>
    <w:rPr>
      <w:rFonts w:ascii="XO Thames" w:hAnsi="XO Thames"/>
      <w:sz w:val="28"/>
    </w:rPr>
  </w:style>
  <w:style w:styleId="Style_8_ch" w:type="character">
    <w:name w:val="toc 6"/>
    <w:link w:val="Style_8"/>
    <w:rPr>
      <w:rFonts w:ascii="XO Thames" w:hAnsi="XO Thames"/>
      <w:sz w:val="28"/>
    </w:rPr>
  </w:style>
  <w:style w:styleId="Style_9" w:type="paragraph">
    <w:name w:val="Balloon Text"/>
    <w:basedOn w:val="Style_5"/>
    <w:link w:val="Style_9_ch"/>
    <w:pPr>
      <w:spacing w:after="0" w:line="240" w:lineRule="auto"/>
      <w:ind/>
    </w:pPr>
    <w:rPr>
      <w:rFonts w:ascii="Tahoma" w:hAnsi="Tahoma"/>
      <w:sz w:val="16"/>
    </w:rPr>
  </w:style>
  <w:style w:styleId="Style_9_ch" w:type="character">
    <w:name w:val="Balloon Text"/>
    <w:basedOn w:val="Style_5_ch"/>
    <w:link w:val="Style_9"/>
    <w:rPr>
      <w:rFonts w:ascii="Tahoma" w:hAnsi="Tahoma"/>
      <w:sz w:val="16"/>
    </w:rPr>
  </w:style>
  <w:style w:styleId="Style_10" w:type="paragraph">
    <w:name w:val="toc 7"/>
    <w:next w:val="Style_5"/>
    <w:link w:val="Style_10_ch"/>
    <w:uiPriority w:val="39"/>
    <w:pPr>
      <w:ind w:firstLine="0" w:left="1200"/>
      <w:jc w:val="left"/>
    </w:pPr>
    <w:rPr>
      <w:rFonts w:ascii="XO Thames" w:hAnsi="XO Thames"/>
      <w:sz w:val="28"/>
    </w:rPr>
  </w:style>
  <w:style w:styleId="Style_10_ch" w:type="character">
    <w:name w:val="toc 7"/>
    <w:link w:val="Style_10"/>
    <w:rPr>
      <w:rFonts w:ascii="XO Thames" w:hAnsi="XO Thames"/>
      <w:sz w:val="28"/>
    </w:rPr>
  </w:style>
  <w:style w:styleId="Style_11" w:type="paragraph">
    <w:name w:val="Default Paragraph Font"/>
    <w:link w:val="Style_11_ch"/>
  </w:style>
  <w:style w:styleId="Style_11_ch" w:type="character">
    <w:name w:val="Default Paragraph Font"/>
    <w:link w:val="Style_11"/>
  </w:style>
  <w:style w:styleId="Style_12" w:type="paragraph">
    <w:name w:val="ConsPlusTitle"/>
    <w:link w:val="Style_12_ch"/>
    <w:pPr>
      <w:widowControl w:val="0"/>
      <w:spacing w:after="200" w:line="288" w:lineRule="auto"/>
      <w:ind/>
    </w:pPr>
    <w:rPr>
      <w:rFonts w:asciiTheme="minorAscii" w:hAnsiTheme="minorHAnsi"/>
      <w:b w:val="1"/>
      <w:sz w:val="22"/>
    </w:rPr>
  </w:style>
  <w:style w:styleId="Style_12_ch" w:type="character">
    <w:name w:val="ConsPlusTitle"/>
    <w:link w:val="Style_12"/>
    <w:rPr>
      <w:rFonts w:asciiTheme="minorAscii" w:hAnsiTheme="minorHAnsi"/>
      <w:b w:val="1"/>
      <w:sz w:val="22"/>
    </w:rPr>
  </w:style>
  <w:style w:styleId="Style_13" w:type="paragraph">
    <w:name w:val="Endnote"/>
    <w:link w:val="Style_13_ch"/>
    <w:pPr>
      <w:ind w:firstLine="851" w:left="0"/>
      <w:jc w:val="both"/>
    </w:pPr>
    <w:rPr>
      <w:rFonts w:ascii="XO Thames" w:hAnsi="XO Thames"/>
      <w:sz w:val="22"/>
    </w:rPr>
  </w:style>
  <w:style w:styleId="Style_13_ch" w:type="character">
    <w:name w:val="Endnote"/>
    <w:link w:val="Style_13"/>
    <w:rPr>
      <w:rFonts w:ascii="XO Thames" w:hAnsi="XO Thames"/>
      <w:sz w:val="22"/>
    </w:rPr>
  </w:style>
  <w:style w:styleId="Style_14" w:type="paragraph">
    <w:name w:val="heading 3"/>
    <w:next w:val="Style_5"/>
    <w:link w:val="Style_14_ch"/>
    <w:uiPriority w:val="9"/>
    <w:qFormat/>
    <w:pPr>
      <w:spacing w:after="120" w:before="120"/>
      <w:ind/>
      <w:jc w:val="both"/>
      <w:outlineLvl w:val="2"/>
    </w:pPr>
    <w:rPr>
      <w:rFonts w:ascii="XO Thames" w:hAnsi="XO Thames"/>
      <w:b w:val="1"/>
      <w:sz w:val="26"/>
    </w:rPr>
  </w:style>
  <w:style w:styleId="Style_14_ch" w:type="character">
    <w:name w:val="heading 3"/>
    <w:link w:val="Style_14"/>
    <w:rPr>
      <w:rFonts w:ascii="XO Thames" w:hAnsi="XO Thames"/>
      <w:b w:val="1"/>
      <w:sz w:val="26"/>
    </w:rPr>
  </w:style>
  <w:style w:styleId="Style_15" w:type="paragraph">
    <w:name w:val="Заголовок статьи"/>
    <w:basedOn w:val="Style_5"/>
    <w:next w:val="Style_5"/>
    <w:link w:val="Style_15_ch"/>
    <w:pPr>
      <w:spacing w:after="0" w:line="240" w:lineRule="auto"/>
      <w:ind w:hanging="892" w:left="1612"/>
      <w:jc w:val="both"/>
    </w:pPr>
    <w:rPr>
      <w:rFonts w:ascii="Arial" w:hAnsi="Arial"/>
    </w:rPr>
  </w:style>
  <w:style w:styleId="Style_15_ch" w:type="character">
    <w:name w:val="Заголовок статьи"/>
    <w:basedOn w:val="Style_5_ch"/>
    <w:link w:val="Style_15"/>
    <w:rPr>
      <w:rFonts w:ascii="Arial" w:hAnsi="Arial"/>
    </w:rPr>
  </w:style>
  <w:style w:styleId="Style_16" w:type="paragraph">
    <w:name w:val="markedcontent"/>
    <w:basedOn w:val="Style_11"/>
    <w:link w:val="Style_16_ch"/>
  </w:style>
  <w:style w:styleId="Style_16_ch" w:type="character">
    <w:name w:val="markedcontent"/>
    <w:basedOn w:val="Style_11_ch"/>
    <w:link w:val="Style_16"/>
  </w:style>
  <w:style w:styleId="Style_17" w:type="paragraph">
    <w:name w:val="footer"/>
    <w:basedOn w:val="Style_5"/>
    <w:link w:val="Style_17_ch"/>
    <w:pPr>
      <w:tabs>
        <w:tab w:leader="none" w:pos="4677" w:val="center"/>
        <w:tab w:leader="none" w:pos="9355" w:val="right"/>
      </w:tabs>
      <w:spacing w:after="0" w:line="240" w:lineRule="auto"/>
      <w:ind/>
    </w:pPr>
  </w:style>
  <w:style w:styleId="Style_17_ch" w:type="character">
    <w:name w:val="footer"/>
    <w:basedOn w:val="Style_5_ch"/>
    <w:link w:val="Style_17"/>
  </w:style>
  <w:style w:styleId="Style_18" w:type="paragraph">
    <w:name w:val="t1"/>
    <w:basedOn w:val="Style_11"/>
    <w:link w:val="Style_18_ch"/>
    <w:rPr>
      <w:color w:val="990000"/>
    </w:rPr>
  </w:style>
  <w:style w:styleId="Style_18_ch" w:type="character">
    <w:name w:val="t1"/>
    <w:basedOn w:val="Style_11_ch"/>
    <w:link w:val="Style_18"/>
    <w:rPr>
      <w:color w:val="990000"/>
    </w:rPr>
  </w:style>
  <w:style w:styleId="Style_19" w:type="paragraph">
    <w:name w:val="toc 3"/>
    <w:next w:val="Style_5"/>
    <w:link w:val="Style_19_ch"/>
    <w:uiPriority w:val="39"/>
    <w:pPr>
      <w:ind w:firstLine="0" w:left="400"/>
      <w:jc w:val="left"/>
    </w:pPr>
    <w:rPr>
      <w:rFonts w:ascii="XO Thames" w:hAnsi="XO Thames"/>
      <w:sz w:val="28"/>
    </w:rPr>
  </w:style>
  <w:style w:styleId="Style_19_ch" w:type="character">
    <w:name w:val="toc 3"/>
    <w:link w:val="Style_19"/>
    <w:rPr>
      <w:rFonts w:ascii="XO Thames" w:hAnsi="XO Thames"/>
      <w:sz w:val="28"/>
    </w:rPr>
  </w:style>
  <w:style w:styleId="Style_4" w:type="paragraph">
    <w:name w:val="List Paragraph"/>
    <w:basedOn w:val="Style_5"/>
    <w:link w:val="Style_4_ch"/>
    <w:pPr>
      <w:spacing w:after="0" w:line="240" w:lineRule="auto"/>
      <w:ind w:firstLine="0" w:left="720"/>
    </w:pPr>
  </w:style>
  <w:style w:styleId="Style_4_ch" w:type="character">
    <w:name w:val="List Paragraph"/>
    <w:basedOn w:val="Style_5_ch"/>
    <w:link w:val="Style_4"/>
  </w:style>
  <w:style w:styleId="Style_20" w:type="paragraph">
    <w:name w:val="heading 5"/>
    <w:next w:val="Style_5"/>
    <w:link w:val="Style_20_ch"/>
    <w:uiPriority w:val="9"/>
    <w:qFormat/>
    <w:pPr>
      <w:spacing w:after="120" w:before="120"/>
      <w:ind/>
      <w:jc w:val="both"/>
      <w:outlineLvl w:val="4"/>
    </w:pPr>
    <w:rPr>
      <w:rFonts w:ascii="XO Thames" w:hAnsi="XO Thames"/>
      <w:b w:val="1"/>
      <w:sz w:val="22"/>
    </w:rPr>
  </w:style>
  <w:style w:styleId="Style_20_ch" w:type="character">
    <w:name w:val="heading 5"/>
    <w:link w:val="Style_20"/>
    <w:rPr>
      <w:rFonts w:ascii="XO Thames" w:hAnsi="XO Thames"/>
      <w:b w:val="1"/>
      <w:sz w:val="22"/>
    </w:rPr>
  </w:style>
  <w:style w:styleId="Style_21" w:type="paragraph">
    <w:name w:val="Абзац списка1"/>
    <w:basedOn w:val="Style_5"/>
    <w:link w:val="Style_21_ch"/>
    <w:pPr>
      <w:spacing w:after="0" w:line="240" w:lineRule="auto"/>
      <w:ind w:firstLine="0" w:left="720"/>
      <w:contextualSpacing w:val="1"/>
    </w:pPr>
    <w:rPr>
      <w:rFonts w:ascii="Calibri" w:hAnsi="Calibri"/>
    </w:rPr>
  </w:style>
  <w:style w:styleId="Style_21_ch" w:type="character">
    <w:name w:val="Абзац списка1"/>
    <w:basedOn w:val="Style_5_ch"/>
    <w:link w:val="Style_21"/>
    <w:rPr>
      <w:rFonts w:ascii="Calibri" w:hAnsi="Calibri"/>
    </w:rPr>
  </w:style>
  <w:style w:styleId="Style_22" w:type="paragraph">
    <w:name w:val="heading 1"/>
    <w:basedOn w:val="Style_5"/>
    <w:next w:val="Style_5"/>
    <w:link w:val="Style_22_ch"/>
    <w:uiPriority w:val="9"/>
    <w:qFormat/>
    <w:pPr>
      <w:spacing w:after="0" w:line="240" w:lineRule="auto"/>
      <w:ind w:firstLine="709" w:left="0"/>
      <w:jc w:val="center"/>
      <w:outlineLvl w:val="0"/>
    </w:pPr>
    <w:rPr>
      <w:b w:val="1"/>
      <w:sz w:val="28"/>
    </w:rPr>
  </w:style>
  <w:style w:styleId="Style_22_ch" w:type="character">
    <w:name w:val="heading 1"/>
    <w:basedOn w:val="Style_5_ch"/>
    <w:link w:val="Style_22"/>
    <w:rPr>
      <w:b w:val="1"/>
      <w:sz w:val="28"/>
    </w:rPr>
  </w:style>
  <w:style w:styleId="Style_23" w:type="paragraph">
    <w:name w:val="ConsNormal"/>
    <w:link w:val="Style_23_ch"/>
    <w:pPr>
      <w:widowControl w:val="0"/>
      <w:ind w:firstLine="720" w:left="0" w:right="19772"/>
    </w:pPr>
    <w:rPr>
      <w:rFonts w:ascii="Arial" w:hAnsi="Arial"/>
    </w:rPr>
  </w:style>
  <w:style w:styleId="Style_23_ch" w:type="character">
    <w:name w:val="ConsNormal"/>
    <w:link w:val="Style_23"/>
    <w:rPr>
      <w:rFonts w:ascii="Arial" w:hAnsi="Arial"/>
    </w:rPr>
  </w:style>
  <w:style w:styleId="Style_24" w:type="paragraph">
    <w:name w:val="Hyperlink"/>
    <w:basedOn w:val="Style_11"/>
    <w:link w:val="Style_24_ch"/>
    <w:rPr>
      <w:color w:val="0000FF"/>
      <w:u w:val="single"/>
    </w:rPr>
  </w:style>
  <w:style w:styleId="Style_24_ch" w:type="character">
    <w:name w:val="Hyperlink"/>
    <w:basedOn w:val="Style_11_ch"/>
    <w:link w:val="Style_24"/>
    <w:rPr>
      <w:color w:val="0000FF"/>
      <w:u w:val="single"/>
    </w:rPr>
  </w:style>
  <w:style w:styleId="Style_25" w:type="paragraph">
    <w:name w:val="Footnote"/>
    <w:link w:val="Style_25_ch"/>
    <w:pPr>
      <w:ind w:firstLine="851" w:left="0"/>
      <w:jc w:val="both"/>
    </w:pPr>
    <w:rPr>
      <w:rFonts w:ascii="XO Thames" w:hAnsi="XO Thames"/>
      <w:sz w:val="22"/>
    </w:rPr>
  </w:style>
  <w:style w:styleId="Style_25_ch" w:type="character">
    <w:name w:val="Footnote"/>
    <w:link w:val="Style_25"/>
    <w:rPr>
      <w:rFonts w:ascii="XO Thames" w:hAnsi="XO Thames"/>
      <w:sz w:val="22"/>
    </w:rPr>
  </w:style>
  <w:style w:styleId="Style_26" w:type="paragraph">
    <w:name w:val="toc 1"/>
    <w:next w:val="Style_5"/>
    <w:link w:val="Style_26_ch"/>
    <w:uiPriority w:val="39"/>
    <w:pPr>
      <w:ind w:firstLine="0" w:left="0"/>
      <w:jc w:val="left"/>
    </w:pPr>
    <w:rPr>
      <w:rFonts w:ascii="XO Thames" w:hAnsi="XO Thames"/>
      <w:b w:val="1"/>
      <w:sz w:val="28"/>
    </w:rPr>
  </w:style>
  <w:style w:styleId="Style_26_ch" w:type="character">
    <w:name w:val="toc 1"/>
    <w:link w:val="Style_26"/>
    <w:rPr>
      <w:rFonts w:ascii="XO Thames" w:hAnsi="XO Thames"/>
      <w:b w:val="1"/>
      <w:sz w:val="28"/>
    </w:rPr>
  </w:style>
  <w:style w:styleId="Style_27" w:type="paragraph">
    <w:name w:val="Header and Footer"/>
    <w:link w:val="Style_27_ch"/>
    <w:pPr>
      <w:spacing w:line="240" w:lineRule="auto"/>
      <w:ind/>
      <w:jc w:val="both"/>
    </w:pPr>
    <w:rPr>
      <w:rFonts w:ascii="XO Thames" w:hAnsi="XO Thames"/>
      <w:sz w:val="20"/>
    </w:rPr>
  </w:style>
  <w:style w:styleId="Style_27_ch" w:type="character">
    <w:name w:val="Header and Footer"/>
    <w:link w:val="Style_27"/>
    <w:rPr>
      <w:rFonts w:ascii="XO Thames" w:hAnsi="XO Thames"/>
      <w:sz w:val="20"/>
    </w:rPr>
  </w:style>
  <w:style w:styleId="Style_28" w:type="paragraph">
    <w:name w:val="toc 9"/>
    <w:next w:val="Style_5"/>
    <w:link w:val="Style_28_ch"/>
    <w:uiPriority w:val="39"/>
    <w:pPr>
      <w:ind w:firstLine="0" w:left="1600"/>
      <w:jc w:val="left"/>
    </w:pPr>
    <w:rPr>
      <w:rFonts w:ascii="XO Thames" w:hAnsi="XO Thames"/>
      <w:sz w:val="28"/>
    </w:rPr>
  </w:style>
  <w:style w:styleId="Style_28_ch" w:type="character">
    <w:name w:val="toc 9"/>
    <w:link w:val="Style_28"/>
    <w:rPr>
      <w:rFonts w:ascii="XO Thames" w:hAnsi="XO Thames"/>
      <w:sz w:val="28"/>
    </w:rPr>
  </w:style>
  <w:style w:styleId="Style_29" w:type="paragraph">
    <w:name w:val="toc 8"/>
    <w:next w:val="Style_5"/>
    <w:link w:val="Style_29_ch"/>
    <w:uiPriority w:val="39"/>
    <w:pPr>
      <w:ind w:firstLine="0" w:left="1400"/>
      <w:jc w:val="left"/>
    </w:pPr>
    <w:rPr>
      <w:rFonts w:ascii="XO Thames" w:hAnsi="XO Thames"/>
      <w:sz w:val="28"/>
    </w:rPr>
  </w:style>
  <w:style w:styleId="Style_29_ch" w:type="character">
    <w:name w:val="toc 8"/>
    <w:link w:val="Style_29"/>
    <w:rPr>
      <w:rFonts w:ascii="XO Thames" w:hAnsi="XO Thames"/>
      <w:sz w:val="28"/>
    </w:rPr>
  </w:style>
  <w:style w:styleId="Style_30" w:type="paragraph">
    <w:name w:val="toc 5"/>
    <w:next w:val="Style_5"/>
    <w:link w:val="Style_30_ch"/>
    <w:uiPriority w:val="39"/>
    <w:pPr>
      <w:ind w:firstLine="0" w:left="800"/>
      <w:jc w:val="left"/>
    </w:pPr>
    <w:rPr>
      <w:rFonts w:ascii="XO Thames" w:hAnsi="XO Thames"/>
      <w:sz w:val="28"/>
    </w:rPr>
  </w:style>
  <w:style w:styleId="Style_30_ch" w:type="character">
    <w:name w:val="toc 5"/>
    <w:link w:val="Style_30"/>
    <w:rPr>
      <w:rFonts w:ascii="XO Thames" w:hAnsi="XO Thames"/>
      <w:sz w:val="28"/>
    </w:rPr>
  </w:style>
  <w:style w:styleId="Style_3" w:type="paragraph">
    <w:name w:val="No Spacing"/>
    <w:link w:val="Style_3_ch"/>
    <w:rPr>
      <w:rFonts w:ascii="Times New Roman" w:hAnsi="Times New Roman"/>
      <w:sz w:val="24"/>
    </w:rPr>
  </w:style>
  <w:style w:styleId="Style_3_ch" w:type="character">
    <w:name w:val="No Spacing"/>
    <w:link w:val="Style_3"/>
    <w:rPr>
      <w:rFonts w:ascii="Times New Roman" w:hAnsi="Times New Roman"/>
      <w:sz w:val="24"/>
    </w:rPr>
  </w:style>
  <w:style w:styleId="Style_1" w:type="paragraph">
    <w:name w:val="header"/>
    <w:basedOn w:val="Style_5"/>
    <w:link w:val="Style_1_ch"/>
    <w:pPr>
      <w:tabs>
        <w:tab w:leader="none" w:pos="4677" w:val="center"/>
        <w:tab w:leader="none" w:pos="9355" w:val="right"/>
      </w:tabs>
      <w:spacing w:after="0" w:line="240" w:lineRule="auto"/>
      <w:ind/>
    </w:pPr>
  </w:style>
  <w:style w:styleId="Style_1_ch" w:type="character">
    <w:name w:val="header"/>
    <w:basedOn w:val="Style_5_ch"/>
    <w:link w:val="Style_1"/>
  </w:style>
  <w:style w:styleId="Style_31" w:type="paragraph">
    <w:name w:val="Subtitle"/>
    <w:next w:val="Style_5"/>
    <w:link w:val="Style_31_ch"/>
    <w:uiPriority w:val="11"/>
    <w:qFormat/>
    <w:pPr>
      <w:ind/>
      <w:jc w:val="both"/>
    </w:pPr>
    <w:rPr>
      <w:rFonts w:ascii="XO Thames" w:hAnsi="XO Thames"/>
      <w:i w:val="1"/>
      <w:sz w:val="24"/>
    </w:rPr>
  </w:style>
  <w:style w:styleId="Style_31_ch" w:type="character">
    <w:name w:val="Subtitle"/>
    <w:link w:val="Style_31"/>
    <w:rPr>
      <w:rFonts w:ascii="XO Thames" w:hAnsi="XO Thames"/>
      <w:i w:val="1"/>
      <w:sz w:val="24"/>
    </w:rPr>
  </w:style>
  <w:style w:styleId="Style_32" w:type="paragraph">
    <w:name w:val="Title"/>
    <w:next w:val="Style_5"/>
    <w:link w:val="Style_32_ch"/>
    <w:uiPriority w:val="10"/>
    <w:qFormat/>
    <w:pPr>
      <w:spacing w:after="567" w:before="567"/>
      <w:ind/>
      <w:jc w:val="center"/>
    </w:pPr>
    <w:rPr>
      <w:rFonts w:ascii="XO Thames" w:hAnsi="XO Thames"/>
      <w:b w:val="1"/>
      <w:caps w:val="1"/>
      <w:sz w:val="40"/>
    </w:rPr>
  </w:style>
  <w:style w:styleId="Style_32_ch" w:type="character">
    <w:name w:val="Title"/>
    <w:link w:val="Style_32"/>
    <w:rPr>
      <w:rFonts w:ascii="XO Thames" w:hAnsi="XO Thames"/>
      <w:b w:val="1"/>
      <w:caps w:val="1"/>
      <w:sz w:val="40"/>
    </w:rPr>
  </w:style>
  <w:style w:styleId="Style_33" w:type="paragraph">
    <w:name w:val="heading 4"/>
    <w:next w:val="Style_5"/>
    <w:link w:val="Style_33_ch"/>
    <w:uiPriority w:val="9"/>
    <w:qFormat/>
    <w:pPr>
      <w:spacing w:after="120" w:before="120"/>
      <w:ind/>
      <w:jc w:val="both"/>
      <w:outlineLvl w:val="3"/>
    </w:pPr>
    <w:rPr>
      <w:rFonts w:ascii="XO Thames" w:hAnsi="XO Thames"/>
      <w:b w:val="1"/>
      <w:sz w:val="24"/>
    </w:rPr>
  </w:style>
  <w:style w:styleId="Style_33_ch" w:type="character">
    <w:name w:val="heading 4"/>
    <w:link w:val="Style_33"/>
    <w:rPr>
      <w:rFonts w:ascii="XO Thames" w:hAnsi="XO Thames"/>
      <w:b w:val="1"/>
      <w:sz w:val="24"/>
    </w:rPr>
  </w:style>
  <w:style w:styleId="Style_34" w:type="paragraph">
    <w:name w:val="heading 2"/>
    <w:next w:val="Style_5"/>
    <w:link w:val="Style_34_ch"/>
    <w:uiPriority w:val="9"/>
    <w:qFormat/>
    <w:pPr>
      <w:spacing w:after="120" w:before="120"/>
      <w:ind/>
      <w:jc w:val="both"/>
      <w:outlineLvl w:val="1"/>
    </w:pPr>
    <w:rPr>
      <w:rFonts w:ascii="XO Thames" w:hAnsi="XO Thames"/>
      <w:b w:val="1"/>
      <w:sz w:val="28"/>
    </w:rPr>
  </w:style>
  <w:style w:styleId="Style_34_ch" w:type="character">
    <w:name w:val="heading 2"/>
    <w:link w:val="Style_34"/>
    <w:rPr>
      <w:rFonts w:ascii="XO Thames" w:hAnsi="XO Thames"/>
      <w:b w:val="1"/>
      <w:sz w:val="28"/>
    </w:rPr>
  </w:style>
  <w:style w:styleId="Style_35" w:type="table">
    <w:name w:val="Table Grid"/>
    <w:basedOn w:val="Style_2"/>
    <w:tblPr>
      <w:tblBorders>
        <w:top w:color="000000" w:sz="4" w:val="single"/>
        <w:left w:color="000000" w:sz="4" w:val="single"/>
        <w:bottom w:color="000000" w:sz="4" w:val="single"/>
        <w:right w:color="000000" w:sz="4" w:val="single"/>
        <w:insideH w:color="000000" w:sz="4" w:val="single"/>
        <w:insideV w:color="000000" w:sz="4" w:val="single"/>
      </w:tblBorders>
    </w:tblPr>
  </w:style>
  <w:style w:default="1" w:styleId="Style_2" w:type="table">
    <w:name w:val="Normal Table"/>
    <w:tblPr>
      <w:tblInd w:type="dxa" w:w="0"/>
      <w:tblCellMar>
        <w:top w:type="dxa" w:w="0"/>
        <w:left w:type="dxa" w:w="108"/>
        <w:bottom w:type="dxa" w:w="0"/>
        <w:right w:type="dxa" w:w="108"/>
      </w:tblCellMar>
    </w:tbl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8" Target="numbering.xml" Type="http://schemas.openxmlformats.org/officeDocument/2006/relationships/numbering"/>
  <Relationship Id="rId7" Target="theme/theme1.xml" Type="http://schemas.openxmlformats.org/officeDocument/2006/relationships/theme"/>
  <Relationship Id="rId6" Target="webSettings.xml" Type="http://schemas.openxmlformats.org/officeDocument/2006/relationships/webSettings"/>
  <Relationship Id="rId5" Target="stylesWithEffects.xml" Type="http://schemas.microsoft.com/office/2007/relationships/stylesWithEffects"/>
  <Relationship Id="rId4" Target="styles.xml" Type="http://schemas.openxmlformats.org/officeDocument/2006/relationships/styles"/>
  <Relationship Id="rId3" Target="settings.xml" Type="http://schemas.openxmlformats.org/officeDocument/2006/relationships/settings"/>
  <Relationship Id="rId2" Target="fontTable.xml" Type="http://schemas.openxmlformats.org/officeDocument/2006/relationships/fontTable"/>
  <Relationship Id="rId1" Target="header1.xml" Type="http://schemas.openxmlformats.org/officeDocument/2006/relationships/header"/>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4="http://schemas.microsoft.com/office/spreadsheetml/2009/9/main" xmlns:xdr="http://schemas.openxmlformats.org/drawingml/2006/spreadsheetDrawing" xmlns:xm="http://schemas.microsoft.com/office/exce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gradFill>
        <a:gradFill>
          <a:gsLst>
            <a:gs pos="0">
              <a:schemeClr val="phClr">
                <a:tint val="8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MyOffice-CoreFramework-Linux/30-1057.739.7957.691.1@09beace3f703645d68d755fb6342d49db1c39c18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2025-12-08T02:40:15Z</dcterms:modified>
</cp:coreProperties>
</file>