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УТВЕРЖДАЮ</w:t>
      </w:r>
    </w:p>
    <w:p w14:paraId="02000000">
      <w:pPr>
        <w:spacing w:after="0" w:line="240" w:lineRule="auto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/>
          <w:sz w:val="20"/>
        </w:rPr>
        <w:t>Д</w:t>
      </w:r>
      <w:r>
        <w:rPr>
          <w:rFonts w:ascii="Times New Roman" w:hAnsi="Times New Roman"/>
          <w:sz w:val="20"/>
        </w:rPr>
        <w:t>иректор СС</w:t>
      </w:r>
    </w:p>
    <w:p w14:paraId="03000000">
      <w:pPr>
        <w:spacing w:after="0" w:line="240" w:lineRule="auto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ГАУ РС (Я) РБ №1-НЦМ</w:t>
      </w:r>
      <w:r>
        <w:rPr>
          <w:rFonts w:ascii="Times New Roman" w:hAnsi="Times New Roman"/>
          <w:sz w:val="20"/>
        </w:rPr>
        <w:t xml:space="preserve"> им М.Е. Николаева</w:t>
      </w:r>
    </w:p>
    <w:p w14:paraId="04000000">
      <w:pPr>
        <w:spacing w:after="0" w:line="240" w:lineRule="auto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_________ </w:t>
      </w:r>
      <w:r>
        <w:rPr>
          <w:rFonts w:ascii="Times New Roman" w:hAnsi="Times New Roman"/>
          <w:sz w:val="20"/>
        </w:rPr>
        <w:t>А.Е. Гаврильев</w:t>
      </w:r>
    </w:p>
    <w:p w14:paraId="05000000">
      <w:pPr>
        <w:spacing w:after="0" w:line="240" w:lineRule="auto"/>
        <w:ind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«___»______________202</w:t>
      </w:r>
      <w:r>
        <w:rPr>
          <w:rFonts w:ascii="Times New Roman" w:hAnsi="Times New Roman"/>
          <w:sz w:val="20"/>
        </w:rPr>
        <w:t>5</w:t>
      </w:r>
      <w:r>
        <w:rPr>
          <w:rFonts w:ascii="Times New Roman" w:hAnsi="Times New Roman"/>
          <w:sz w:val="20"/>
        </w:rPr>
        <w:t xml:space="preserve"> г.</w:t>
      </w:r>
    </w:p>
    <w:p w14:paraId="06000000">
      <w:pPr>
        <w:pStyle w:val="Style_1"/>
      </w:pPr>
    </w:p>
    <w:p w14:paraId="07000000">
      <w:pPr>
        <w:pStyle w:val="Style_1"/>
        <w:ind/>
        <w:jc w:val="center"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b w:val="1"/>
          <w:sz w:val="18"/>
        </w:rPr>
        <w:t xml:space="preserve">Часть 3. Описание предмета закупки </w:t>
      </w:r>
    </w:p>
    <w:p w14:paraId="08000000">
      <w:pPr>
        <w:pStyle w:val="Style_1"/>
        <w:ind/>
        <w:jc w:val="center"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b w:val="1"/>
          <w:sz w:val="18"/>
        </w:rPr>
        <w:t xml:space="preserve">на поставку </w:t>
      </w:r>
      <w:r>
        <w:rPr>
          <w:rFonts w:ascii="Times New Roman" w:hAnsi="Times New Roman"/>
          <w:b w:val="1"/>
          <w:sz w:val="18"/>
        </w:rPr>
        <w:t xml:space="preserve">лекарственного препарата </w:t>
      </w:r>
      <w:r>
        <w:rPr>
          <w:rFonts w:ascii="Times New Roman" w:hAnsi="Times New Roman"/>
          <w:b w:val="1"/>
          <w:sz w:val="18"/>
        </w:rPr>
        <w:t>«</w:t>
      </w:r>
      <w:r>
        <w:rPr>
          <w:rFonts w:ascii="Times New Roman" w:hAnsi="Times New Roman"/>
          <w:b w:val="1"/>
          <w:sz w:val="18"/>
        </w:rPr>
        <w:t>АМПИЦИЛЛИН+СУЛЬБАКТАМ</w:t>
      </w:r>
      <w:r>
        <w:rPr>
          <w:rFonts w:ascii="Times New Roman" w:hAnsi="Times New Roman"/>
          <w:b w:val="1"/>
          <w:sz w:val="18"/>
        </w:rPr>
        <w:t>»</w:t>
      </w:r>
      <w:r>
        <w:rPr>
          <w:rFonts w:ascii="Times New Roman" w:hAnsi="Times New Roman"/>
          <w:b w:val="1"/>
          <w:sz w:val="18"/>
        </w:rPr>
        <w:t xml:space="preserve"> (МНН)</w:t>
      </w:r>
    </w:p>
    <w:p w14:paraId="09000000">
      <w:pPr>
        <w:ind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           В соответствии с Приказом Министерства промышленности и торговли Российской Федерации от 27.05.2016 № 1730 «Об утверждении Порядка свободного доступа к документам, разрабатываемым и применяемым в национальной системе стандартизации»</w:t>
      </w:r>
      <w:r>
        <w:rPr>
          <w:rFonts w:ascii="Times New Roman" w:hAnsi="Times New Roman"/>
          <w:sz w:val="18"/>
        </w:rPr>
        <w:t>,</w:t>
      </w:r>
      <w:r>
        <w:rPr>
          <w:rFonts w:ascii="Times New Roman" w:hAnsi="Times New Roman"/>
          <w:sz w:val="18"/>
        </w:rPr>
        <w:t xml:space="preserve"> документы национальной системы стандартизации размещаются на официальном сайте Росстандарта http://www.gost.ru. По данным указанного официального сайта проект технического регламента «О безопасности лекарственных средств» находится в стадии завершения публичного обсуждения проекта технического регламента. Документы национальной системы стандартизации лекарственных средств также отсутствуют. В связи с этим Заказчиком установлены иные требования, связанные с определением соответствия поставляемого товара потребностям заказчика, а именно: предлагаемый к поставке товар должен отвечать требованиям Федерального закона от 12.04.2010 N 61-ФЗ «Об о</w:t>
      </w:r>
      <w:r>
        <w:rPr>
          <w:rFonts w:ascii="Times New Roman" w:hAnsi="Times New Roman"/>
          <w:sz w:val="18"/>
        </w:rPr>
        <w:t>бращении лекарственных средств».</w:t>
      </w:r>
    </w:p>
    <w:tbl>
      <w:tblPr>
        <w:tblStyle w:val="Style_2"/>
        <w:tblInd w:type="dxa" w:w="-176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67"/>
        <w:gridCol w:w="3403"/>
        <w:gridCol w:w="4252"/>
        <w:gridCol w:w="1985"/>
        <w:gridCol w:w="2410"/>
        <w:gridCol w:w="2693"/>
      </w:tblGrid>
      <w:tr>
        <w:trPr>
          <w:trHeight w:hRule="atLeast" w:val="1255"/>
        </w:trPr>
        <w:tc>
          <w:tcPr>
            <w:tcW w:type="dxa" w:w="5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A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№ п/п</w:t>
            </w:r>
          </w:p>
        </w:tc>
        <w:tc>
          <w:tcPr>
            <w:tcW w:type="dxa" w:w="34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B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Международное непатентованное наименование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/ Группировочное (химическое) наименование</w:t>
            </w:r>
          </w:p>
        </w:tc>
        <w:tc>
          <w:tcPr>
            <w:tcW w:type="dxa" w:w="42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C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Лекарственная форма</w:t>
            </w:r>
          </w:p>
        </w:tc>
        <w:tc>
          <w:tcPr>
            <w:tcW w:type="dxa" w:w="198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D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Дозировка с указанием единицы и</w:t>
            </w:r>
            <w:r>
              <w:rPr>
                <w:sz w:val="18"/>
              </w:rPr>
              <w:t>змерения согласно ГОСТ 8.417-2024</w:t>
            </w:r>
            <w:r>
              <w:rPr>
                <w:sz w:val="18"/>
              </w:rPr>
              <w:t xml:space="preserve"> или ОКЕИ</w:t>
            </w:r>
          </w:p>
        </w:tc>
        <w:tc>
          <w:tcPr>
            <w:tcW w:type="dxa" w:w="24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E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Количество лекарственного препарата с указанием единицы измерения согласно ГОСТ 8.417-20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 xml:space="preserve"> или ОКЕИ</w:t>
            </w:r>
          </w:p>
        </w:tc>
        <w:tc>
          <w:tcPr>
            <w:tcW w:type="dxa" w:w="26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0F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Иные характеристики лекарственного препарата, содержащиеся в инструкциях по применению лекарственного препарата**</w:t>
            </w:r>
          </w:p>
        </w:tc>
      </w:tr>
      <w:tr>
        <w:trPr>
          <w:trHeight w:hRule="atLeast" w:val="570"/>
        </w:trPr>
        <w:tc>
          <w:tcPr>
            <w:tcW w:type="dxa" w:w="5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0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type="dxa" w:w="34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1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АМПИЦИЛЛИН+СУЛЬБАКТАМ</w:t>
            </w:r>
          </w:p>
        </w:tc>
        <w:tc>
          <w:tcPr>
            <w:tcW w:type="dxa" w:w="42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2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Порошок для приготовления раствора для внутривенного и внутримышечного введения</w:t>
            </w:r>
          </w:p>
        </w:tc>
        <w:tc>
          <w:tcPr>
            <w:tcW w:type="dxa" w:w="1985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shd w:fill="auto" w:val="clear"/>
            <w:vAlign w:val="center"/>
          </w:tcPr>
          <w:p w14:paraId="13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250 мг+125 мг</w:t>
            </w:r>
          </w:p>
          <w:p w14:paraId="14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ГРЛС: 250 мг + 125 мг</w:t>
            </w:r>
          </w:p>
        </w:tc>
        <w:tc>
          <w:tcPr>
            <w:tcW w:type="dxa" w:w="24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5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 </w:t>
            </w:r>
            <w:r>
              <w:rPr>
                <w:sz w:val="18"/>
              </w:rPr>
              <w:t>700</w:t>
            </w:r>
            <w:r>
              <w:rPr>
                <w:sz w:val="18"/>
              </w:rPr>
              <w:t xml:space="preserve"> упак.</w:t>
            </w:r>
          </w:p>
        </w:tc>
        <w:tc>
          <w:tcPr>
            <w:tcW w:type="dxa" w:w="26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6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ФЛАКОН по 375 миллиграмм</w:t>
            </w:r>
          </w:p>
        </w:tc>
      </w:tr>
      <w:tr>
        <w:trPr>
          <w:trHeight w:hRule="atLeast" w:val="570"/>
        </w:trPr>
        <w:tc>
          <w:tcPr>
            <w:tcW w:type="dxa" w:w="5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7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type="dxa" w:w="34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8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АМПИЦИЛЛИН+СУЛЬБАКТАМ</w:t>
            </w:r>
          </w:p>
        </w:tc>
        <w:tc>
          <w:tcPr>
            <w:tcW w:type="dxa" w:w="42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9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Порошок для приготовления раствора для внутривенного и внутримышечного введения</w:t>
            </w:r>
          </w:p>
        </w:tc>
        <w:tc>
          <w:tcPr>
            <w:tcW w:type="dxa" w:w="1985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shd w:fill="auto" w:val="clear"/>
            <w:vAlign w:val="center"/>
          </w:tcPr>
          <w:p w14:paraId="1A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500 мг+250 мг</w:t>
            </w:r>
          </w:p>
          <w:p w14:paraId="1B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ГРЛС: 0.5 г + 0.25 г, 500 мг + 250 мг</w:t>
            </w:r>
          </w:p>
        </w:tc>
        <w:tc>
          <w:tcPr>
            <w:tcW w:type="dxa" w:w="24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C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 </w:t>
            </w:r>
            <w:r>
              <w:rPr>
                <w:sz w:val="18"/>
              </w:rPr>
              <w:t>000</w:t>
            </w:r>
            <w:r>
              <w:rPr>
                <w:sz w:val="18"/>
              </w:rPr>
              <w:t xml:space="preserve"> упак.</w:t>
            </w:r>
          </w:p>
        </w:tc>
        <w:tc>
          <w:tcPr>
            <w:tcW w:type="dxa" w:w="26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D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ФЛАКОН по </w:t>
            </w:r>
            <w:r>
              <w:rPr>
                <w:sz w:val="18"/>
              </w:rPr>
              <w:t>75</w:t>
            </w:r>
            <w:r>
              <w:rPr>
                <w:sz w:val="18"/>
              </w:rPr>
              <w:t>0</w:t>
            </w:r>
            <w:r>
              <w:rPr>
                <w:sz w:val="18"/>
              </w:rPr>
              <w:t xml:space="preserve"> миллиграмм</w:t>
            </w:r>
          </w:p>
        </w:tc>
      </w:tr>
      <w:tr>
        <w:trPr>
          <w:trHeight w:hRule="atLeast" w:val="570"/>
        </w:trPr>
        <w:tc>
          <w:tcPr>
            <w:tcW w:type="dxa" w:w="5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E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type="dxa" w:w="34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1F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АМПИЦИЛЛИН+СУЛЬБАКТАМ</w:t>
            </w:r>
          </w:p>
        </w:tc>
        <w:tc>
          <w:tcPr>
            <w:tcW w:type="dxa" w:w="42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20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Порошок для приготовления раствора для внутривенного и внутримышечного введения</w:t>
            </w:r>
          </w:p>
        </w:tc>
        <w:tc>
          <w:tcPr>
            <w:tcW w:type="dxa" w:w="1985"/>
            <w:tcBorders>
              <w:top w:color="000000" w:sz="4" w:val="single"/>
              <w:left w:sz="4" w:val="nil"/>
              <w:bottom w:color="000000" w:sz="4" w:val="single"/>
              <w:right w:sz="4" w:val="nil"/>
            </w:tcBorders>
            <w:shd w:fill="auto" w:val="clear"/>
            <w:vAlign w:val="center"/>
          </w:tcPr>
          <w:p w14:paraId="21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1000 мг+500 мг</w:t>
            </w:r>
          </w:p>
          <w:p w14:paraId="22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ГРЛС: 1000 мг + 500 мг, 1 г + 0.5 г</w:t>
            </w:r>
          </w:p>
        </w:tc>
        <w:tc>
          <w:tcPr>
            <w:tcW w:type="dxa" w:w="241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23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z w:val="18"/>
              </w:rPr>
              <w:t> </w:t>
            </w:r>
            <w:r>
              <w:rPr>
                <w:sz w:val="18"/>
              </w:rPr>
              <w:t>000</w:t>
            </w:r>
            <w:r>
              <w:rPr>
                <w:sz w:val="18"/>
              </w:rPr>
              <w:t xml:space="preserve"> упак.</w:t>
            </w:r>
          </w:p>
        </w:tc>
        <w:tc>
          <w:tcPr>
            <w:tcW w:type="dxa" w:w="269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24000000">
            <w:pPr>
              <w:spacing w:after="0" w:line="240" w:lineRule="auto"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ФЛАКОН по 1 500 миллиграмм</w:t>
            </w:r>
          </w:p>
        </w:tc>
      </w:tr>
      <w:tr>
        <w:trPr>
          <w:trHeight w:hRule="atLeast" w:val="200"/>
          <w:hidden w:val="0"/>
        </w:trPr>
        <w:tc>
          <w:tcPr>
            <w:tcW w:type="dxa" w:w="10207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25000000">
            <w:pPr>
              <w:ind/>
              <w:jc w:val="center"/>
              <w:rPr>
                <w:sz w:val="18"/>
              </w:rPr>
            </w:pPr>
            <w:r>
              <w:rPr>
                <w:sz w:val="18"/>
              </w:rPr>
              <w:t>**Обоснование необходимости соответствия закупаемого лекарственного препарата указанным в настоящей части аукционной документации</w:t>
            </w:r>
            <w:r>
              <w:rPr>
                <w:sz w:val="18"/>
              </w:rPr>
              <w:t xml:space="preserve"> характеристикам и показателям:</w:t>
            </w:r>
          </w:p>
        </w:tc>
        <w:tc>
          <w:tcPr>
            <w:tcW w:type="dxa" w:w="5103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vAlign w:val="center"/>
          </w:tcPr>
          <w:p w14:paraId="26000000">
            <w:pPr>
              <w:ind/>
              <w:jc w:val="both"/>
              <w:rPr>
                <w:sz w:val="18"/>
              </w:rPr>
            </w:pPr>
            <w:r>
              <w:rPr>
                <w:i w:val="1"/>
                <w:sz w:val="18"/>
              </w:rPr>
              <w:t>Заказчик, в целях рационального расходования и экономии препаратов, устанавливает требование к форме выпуска (первичной упаковки), объему наполнения первичной упаковки лекарственных препаратов,</w:t>
            </w:r>
            <w:r>
              <w:rPr>
                <w:i w:val="1"/>
                <w:sz w:val="18"/>
              </w:rPr>
              <w:t xml:space="preserve"> дозировке, комплектности </w:t>
            </w:r>
            <w:r>
              <w:rPr>
                <w:i w:val="1"/>
                <w:sz w:val="18"/>
              </w:rPr>
              <w:t xml:space="preserve">упаковки, </w:t>
            </w:r>
            <w:r>
              <w:rPr>
                <w:i w:val="1"/>
                <w:sz w:val="18"/>
              </w:rPr>
              <w:t>количеству единиц лекарственных препаратов во вторичной упаковке, а также требование поставки конкретного количества упаковок вместо количества лекарственных препаратов, что позволяет точно подобрать необходимую дозу пациентам, избегая образования остатков препарата в упаковке, подлежащих утилизации, минимизирует потери препарата, упрощает оборот препаратов, экономит рабочее время медицинского персонала и приводит к экономии средств.</w:t>
            </w:r>
          </w:p>
        </w:tc>
      </w:tr>
    </w:tbl>
    <w:p w14:paraId="27000000">
      <w:pPr>
        <w:ind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Остаточный срок годности товара (от первоначального на дату поставки товара Заказчику) должен составлять: не менее </w:t>
      </w:r>
      <w:r>
        <w:rPr>
          <w:rFonts w:ascii="Times New Roman" w:hAnsi="Times New Roman"/>
          <w:sz w:val="18"/>
        </w:rPr>
        <w:t>12 месяцев</w:t>
      </w:r>
      <w:r>
        <w:rPr>
          <w:rFonts w:ascii="Times New Roman" w:hAnsi="Times New Roman"/>
          <w:sz w:val="18"/>
        </w:rPr>
        <w:t xml:space="preserve"> от общего срока годности, указанного на упаковке</w:t>
      </w:r>
    </w:p>
    <w:p w14:paraId="28000000">
      <w:pPr>
        <w:ind/>
        <w:jc w:val="center"/>
        <w:rPr>
          <w:rFonts w:ascii="Times New Roman" w:hAnsi="Times New Roman"/>
          <w:b w:val="1"/>
          <w:sz w:val="18"/>
        </w:rPr>
      </w:pPr>
      <w:r>
        <w:rPr>
          <w:rFonts w:ascii="Times New Roman" w:hAnsi="Times New Roman"/>
          <w:sz w:val="18"/>
        </w:rPr>
        <w:t xml:space="preserve">Составил_______________________ </w:t>
      </w:r>
      <w:r>
        <w:rPr>
          <w:rFonts w:ascii="Times New Roman" w:hAnsi="Times New Roman"/>
          <w:sz w:val="18"/>
        </w:rPr>
        <w:t xml:space="preserve">зав. аптекой </w:t>
      </w:r>
      <w:r>
        <w:rPr>
          <w:rFonts w:ascii="Times New Roman" w:hAnsi="Times New Roman"/>
          <w:sz w:val="18"/>
        </w:rPr>
        <w:t>Шадрина И.Н</w:t>
      </w:r>
      <w:r>
        <w:rPr>
          <w:rFonts w:ascii="Times New Roman" w:hAnsi="Times New Roman"/>
          <w:sz w:val="18"/>
        </w:rPr>
        <w:t>.</w:t>
      </w:r>
    </w:p>
    <w:sectPr>
      <w:pgSz w:h="11906" w:orient="landscape" w:w="16838"/>
      <w:pgMar w:bottom="284" w:footer="708" w:gutter="0" w:header="708" w:left="709" w:right="1134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spacing w:after="200" w:line="276" w:lineRule="auto"/>
      <w:ind/>
    </w:pPr>
    <w:rPr>
      <w:sz w:val="22"/>
    </w:rPr>
  </w:style>
  <w:style w:default="1" w:styleId="Style_3_ch" w:type="character">
    <w:name w:val="Normal"/>
    <w:link w:val="Style_3"/>
    <w:rPr>
      <w:sz w:val="22"/>
    </w:rPr>
  </w:style>
  <w:style w:styleId="Style_4" w:type="paragraph">
    <w:name w:val="Default Paragraph Font"/>
    <w:link w:val="Style_4_ch"/>
  </w:style>
  <w:style w:styleId="Style_4_ch" w:type="character">
    <w:name w:val="Default Paragraph Font"/>
    <w:link w:val="Style_4"/>
  </w:style>
  <w:style w:styleId="Style_5" w:type="paragraph">
    <w:name w:val="toc 2"/>
    <w:next w:val="Style_3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annotation text"/>
    <w:basedOn w:val="Style_3"/>
    <w:link w:val="Style_6_ch"/>
    <w:rPr>
      <w:sz w:val="20"/>
    </w:rPr>
  </w:style>
  <w:style w:styleId="Style_6_ch" w:type="character">
    <w:name w:val="annotation text"/>
    <w:basedOn w:val="Style_3_ch"/>
    <w:link w:val="Style_6"/>
    <w:rPr>
      <w:sz w:val="20"/>
    </w:rPr>
  </w:style>
  <w:style w:styleId="Style_7" w:type="paragraph">
    <w:name w:val="toc 4"/>
    <w:next w:val="Style_3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3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next w:val="Style_3"/>
    <w:link w:val="Style_11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1_ch" w:type="character">
    <w:name w:val="heading 3"/>
    <w:link w:val="Style_11"/>
    <w:rPr>
      <w:rFonts w:ascii="XO Thames" w:hAnsi="XO Thames"/>
      <w:b w:val="1"/>
      <w:sz w:val="26"/>
    </w:rPr>
  </w:style>
  <w:style w:styleId="Style_12" w:type="paragraph">
    <w:name w:val="annotation reference"/>
    <w:link w:val="Style_12_ch"/>
    <w:rPr>
      <w:sz w:val="16"/>
    </w:rPr>
  </w:style>
  <w:style w:styleId="Style_12_ch" w:type="character">
    <w:name w:val="annotation reference"/>
    <w:link w:val="Style_12"/>
    <w:rPr>
      <w:sz w:val="16"/>
    </w:rPr>
  </w:style>
  <w:style w:styleId="Style_13" w:type="paragraph">
    <w:name w:val="toc 3"/>
    <w:next w:val="Style_3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Balloon Text"/>
    <w:basedOn w:val="Style_3"/>
    <w:link w:val="Style_14_ch"/>
    <w:pPr>
      <w:spacing w:after="0" w:line="240" w:lineRule="auto"/>
      <w:ind/>
    </w:pPr>
    <w:rPr>
      <w:rFonts w:ascii="Tahoma" w:hAnsi="Tahoma"/>
      <w:sz w:val="16"/>
    </w:rPr>
  </w:style>
  <w:style w:styleId="Style_14_ch" w:type="character">
    <w:name w:val="Balloon Text"/>
    <w:basedOn w:val="Style_3_ch"/>
    <w:link w:val="Style_14"/>
    <w:rPr>
      <w:rFonts w:ascii="Tahoma" w:hAnsi="Tahoma"/>
      <w:sz w:val="16"/>
    </w:rPr>
  </w:style>
  <w:style w:styleId="Style_15" w:type="paragraph">
    <w:name w:val="heading 5"/>
    <w:next w:val="Style_3"/>
    <w:link w:val="Style_15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5_ch" w:type="character">
    <w:name w:val="heading 5"/>
    <w:link w:val="Style_15"/>
    <w:rPr>
      <w:rFonts w:ascii="XO Thames" w:hAnsi="XO Thames"/>
      <w:b w:val="1"/>
      <w:sz w:val="22"/>
    </w:rPr>
  </w:style>
  <w:style w:styleId="Style_16" w:type="paragraph">
    <w:name w:val="heading 1"/>
    <w:next w:val="Style_3"/>
    <w:link w:val="Style_16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6_ch" w:type="character">
    <w:name w:val="heading 1"/>
    <w:link w:val="Style_16"/>
    <w:rPr>
      <w:rFonts w:ascii="XO Thames" w:hAnsi="XO Thames"/>
      <w:b w:val="1"/>
      <w:sz w:val="32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3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0"/>
    </w:rPr>
  </w:style>
  <w:style w:styleId="Style_20_ch" w:type="character">
    <w:name w:val="Header and Footer"/>
    <w:link w:val="Style_20"/>
    <w:rPr>
      <w:rFonts w:ascii="XO Thames" w:hAnsi="XO Thames"/>
      <w:sz w:val="20"/>
    </w:rPr>
  </w:style>
  <w:style w:styleId="Style_1" w:type="paragraph">
    <w:name w:val="No Spacing"/>
    <w:link w:val="Style_1_ch"/>
    <w:rPr>
      <w:sz w:val="22"/>
    </w:rPr>
  </w:style>
  <w:style w:styleId="Style_1_ch" w:type="character">
    <w:name w:val="No Spacing"/>
    <w:link w:val="Style_1"/>
    <w:rPr>
      <w:sz w:val="22"/>
    </w:rPr>
  </w:style>
  <w:style w:styleId="Style_21" w:type="paragraph">
    <w:name w:val="toc 9"/>
    <w:next w:val="Style_3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3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3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next w:val="Style_3"/>
    <w:link w:val="Style_24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4_ch" w:type="character">
    <w:name w:val="Subtitle"/>
    <w:link w:val="Style_24"/>
    <w:rPr>
      <w:rFonts w:ascii="XO Thames" w:hAnsi="XO Thames"/>
      <w:i w:val="1"/>
      <w:sz w:val="24"/>
    </w:rPr>
  </w:style>
  <w:style w:styleId="Style_25" w:type="paragraph">
    <w:name w:val="Title"/>
    <w:next w:val="Style_3"/>
    <w:link w:val="Style_25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5_ch" w:type="character">
    <w:name w:val="Title"/>
    <w:link w:val="Style_25"/>
    <w:rPr>
      <w:rFonts w:ascii="XO Thames" w:hAnsi="XO Thames"/>
      <w:b w:val="1"/>
      <w:caps w:val="1"/>
      <w:sz w:val="40"/>
    </w:rPr>
  </w:style>
  <w:style w:styleId="Style_26" w:type="paragraph">
    <w:name w:val="heading 4"/>
    <w:next w:val="Style_3"/>
    <w:link w:val="Style_26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6_ch" w:type="character">
    <w:name w:val="heading 4"/>
    <w:link w:val="Style_26"/>
    <w:rPr>
      <w:rFonts w:ascii="XO Thames" w:hAnsi="XO Thames"/>
      <w:b w:val="1"/>
      <w:sz w:val="24"/>
    </w:rPr>
  </w:style>
  <w:style w:styleId="Style_27" w:type="paragraph">
    <w:name w:val="annotation subject"/>
    <w:basedOn w:val="Style_6"/>
    <w:next w:val="Style_6"/>
    <w:link w:val="Style_27_ch"/>
    <w:rPr>
      <w:b w:val="1"/>
    </w:rPr>
  </w:style>
  <w:style w:styleId="Style_27_ch" w:type="character">
    <w:name w:val="annotation subject"/>
    <w:basedOn w:val="Style_6_ch"/>
    <w:link w:val="Style_27"/>
    <w:rPr>
      <w:b w:val="1"/>
    </w:rPr>
  </w:style>
  <w:style w:styleId="Style_28" w:type="paragraph">
    <w:name w:val="heading 2"/>
    <w:next w:val="Style_3"/>
    <w:link w:val="Style_28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8_ch" w:type="character">
    <w:name w:val="heading 2"/>
    <w:link w:val="Style_28"/>
    <w:rPr>
      <w:rFonts w:ascii="XO Thames" w:hAnsi="XO Thames"/>
      <w:b w:val="1"/>
      <w:sz w:val="2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9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2025-12-08T01:35:30Z</dcterms:modified>
</cp:coreProperties>
</file>