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F1137" w14:textId="77777777" w:rsidR="00752595" w:rsidRDefault="00000000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Порядок внесения денежных средств в качестве обеспечения заявки на участие в закупке, а также условия гарантии</w:t>
      </w:r>
    </w:p>
    <w:p w14:paraId="09141C70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Порядок внесения денежных средств в качестве обеспечения заявки на участие в закупке: денежные средства вносятся участником закупки на банковский счет, открытый в банке, включенном в перечень, утвержденный Правительством РФ (распоряжение Правительства РФ от 13.07.2018 №1451-р) (далее-специальный счет).Требования к договору специального счета и порядку использования имеющегося у участника закупки банковского счета в качестве специального счета установлены постановлением Правительства РФ (далее-ПП РФ) от 30.05.2018 №626.Подача заявки на участие в закупке означает согласие участника закупки на блокирование денежных средств, находящихся на его специальном счете, в размере обеспечения заявки на участие в закупке. Участники закупки, являющиеся юр. лицами, зарегистрированными на территории государства-члена Евразийского экономического союза (далее–ЕАЭС), за искл. РФ, или физ. лицами, являющимися гражданами государства-члена ЕАЭС, за искл. РФ, вправе предоставить обеспечение заявок в виде денежных средств в следующем порядке: денежные средства вносятся на счет, указанный в извещении об осуществлении закупки (п. «Реквизиты счета в соответствии с п.16 ч.1 ст.42 Закона №44-ФЗ»):</w:t>
      </w:r>
    </w:p>
    <w:p w14:paraId="6393A3AA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Получатель: УФК по Камчатскому краю (Администрация сельского поселения «Село Манилы» Пенжинского муниципального района Камчатского края), л/с 05383010150</w:t>
      </w:r>
    </w:p>
    <w:p w14:paraId="31FAACB1" w14:textId="05192B7A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Банк: </w:t>
      </w:r>
      <w:r w:rsidR="0035445E" w:rsidRPr="0035445E">
        <w:rPr>
          <w:rFonts w:ascii="Times New Roman" w:hAnsi="Times New Roman"/>
        </w:rPr>
        <w:t>03232643308294033800</w:t>
      </w:r>
      <w:r w:rsidR="0035445E" w:rsidRPr="0035445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// УФК по Камчатскому краю г. Петропавловск-Камчатский</w:t>
      </w:r>
    </w:p>
    <w:p w14:paraId="78BFC668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БИК 013002402</w:t>
      </w:r>
    </w:p>
    <w:p w14:paraId="702B8840" w14:textId="46092C9C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Казначейский счет </w:t>
      </w:r>
      <w:r w:rsidR="0035445E" w:rsidRPr="0035445E">
        <w:rPr>
          <w:rFonts w:ascii="Times New Roman" w:hAnsi="Times New Roman"/>
        </w:rPr>
        <w:t>03232643308294033800</w:t>
      </w:r>
    </w:p>
    <w:p w14:paraId="511704D9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ЕКС 40102810945370000031</w:t>
      </w:r>
    </w:p>
    <w:p w14:paraId="7B21CD93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ИНН/КПП 8204000483 / 820401001</w:t>
      </w:r>
    </w:p>
    <w:p w14:paraId="5AD86AF3" w14:textId="77777777" w:rsidR="00752595" w:rsidRDefault="00000000">
      <w:pPr>
        <w:spacing w:after="0" w:line="24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</w:rPr>
        <w:t>ОКТМО 30829403</w:t>
      </w:r>
    </w:p>
    <w:p w14:paraId="3B8BD182" w14:textId="77777777" w:rsidR="00752595" w:rsidRDefault="00000000">
      <w:pPr>
        <w:spacing w:after="0" w:line="240" w:lineRule="auto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</w:rPr>
        <w:t>КБК 00000000000000000510</w:t>
      </w:r>
    </w:p>
    <w:p w14:paraId="7DF12AE9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Условия независимой гарантии (далее-НГ): НГ должна соответствовать требованиям ст.45 Федерального закона от 05.04.2013 №44-ФЗ (далее–Закон №44-ФЗ), а также дополнительным требованиям к НГ, утвержденным ПП РФ от 08.11.2013 №1005.НГ должна быть безотзывной и должна содержать информацию, указанную в пп.1-5,7 ч.2, ч.3 ст.45 Закона №44-ФЗ.Срок действия НГ должен составлять не менее месяца с даты окончания срока подачи заявок.Типовая форма НГ утверждена ПП РФ от 08.11.2013 №1005. Доп. информация: гос., мун.учреждения не предоставляют обеспечение подаваемых ими заявок на участие в закупках.Предприятия уголовно-исполнительной системы, организации инвалидов, предусмотренные ч.2 ст.29 Закона №44-ФЗ, предоставляют обеспечение заявки на участие в закупке в размере 0,5% начальной (максимальной) цены контракта.</w:t>
      </w:r>
    </w:p>
    <w:p w14:paraId="28081FD0" w14:textId="77777777" w:rsidR="00752595" w:rsidRDefault="00752595">
      <w:pPr>
        <w:spacing w:after="0" w:line="240" w:lineRule="auto"/>
        <w:jc w:val="both"/>
        <w:rPr>
          <w:rFonts w:ascii="Times New Roman" w:hAnsi="Times New Roman"/>
        </w:rPr>
      </w:pPr>
    </w:p>
    <w:p w14:paraId="5AB92915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Реквизиты счета для перечисления денежных средств в случае, предусмотренном частью 13 статьи 44 Федерального закона от 05.04.2013 № 44-ФЗ:</w:t>
      </w:r>
    </w:p>
    <w:p w14:paraId="0C69DF27" w14:textId="348202CE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Получатель: УФК по Камчатскому краю (</w:t>
      </w:r>
      <w:r w:rsidR="0035445E" w:rsidRPr="0035445E">
        <w:rPr>
          <w:rFonts w:ascii="Times New Roman" w:hAnsi="Times New Roman"/>
        </w:rPr>
        <w:t>ФИНАНСОВОЕ УПРАВЛЕНИЕ ПЕНЖИНСКОГО РАЙОНА</w:t>
      </w:r>
      <w:r>
        <w:rPr>
          <w:rFonts w:ascii="Times New Roman" w:hAnsi="Times New Roman"/>
        </w:rPr>
        <w:t>), л/с 04383009440</w:t>
      </w:r>
    </w:p>
    <w:p w14:paraId="54A28A72" w14:textId="77114F0A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Банк: </w:t>
      </w:r>
      <w:r w:rsidR="0035445E" w:rsidRPr="0035445E">
        <w:rPr>
          <w:rFonts w:ascii="Times New Roman" w:hAnsi="Times New Roman"/>
        </w:rPr>
        <w:t>ОКЦ № 4 ДГУ Банка России</w:t>
      </w:r>
      <w:r>
        <w:rPr>
          <w:rFonts w:ascii="Times New Roman" w:hAnsi="Times New Roman"/>
        </w:rPr>
        <w:t xml:space="preserve"> // УФК по Камчатскому краю г. Петропавловск-Камчатский</w:t>
      </w:r>
    </w:p>
    <w:p w14:paraId="7AA628DA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БИК 013002402</w:t>
      </w:r>
    </w:p>
    <w:p w14:paraId="537A338C" w14:textId="02CE3CE3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Казначейский счет </w:t>
      </w:r>
      <w:r w:rsidR="0035445E" w:rsidRPr="0035445E">
        <w:rPr>
          <w:rFonts w:ascii="Times New Roman" w:hAnsi="Times New Roman"/>
        </w:rPr>
        <w:t>03100643000000013800</w:t>
      </w:r>
    </w:p>
    <w:p w14:paraId="1218618C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ЕКС 40102810945370000031</w:t>
      </w:r>
    </w:p>
    <w:p w14:paraId="4C62E99D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ИНН/КПП 8204000532/8204010001</w:t>
      </w:r>
    </w:p>
    <w:p w14:paraId="09A8F6E4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ОКТМО 30829403</w:t>
      </w:r>
    </w:p>
    <w:p w14:paraId="32144DEA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КБК 90311610061100000140</w:t>
      </w:r>
    </w:p>
    <w:p w14:paraId="4FFDCF9E" w14:textId="77777777" w:rsidR="00752595" w:rsidRDefault="00752595">
      <w:pPr>
        <w:spacing w:after="0" w:line="240" w:lineRule="auto"/>
        <w:jc w:val="both"/>
        <w:rPr>
          <w:rFonts w:ascii="Times New Roman" w:hAnsi="Times New Roman"/>
        </w:rPr>
      </w:pPr>
    </w:p>
    <w:p w14:paraId="5712B06C" w14:textId="77777777" w:rsidR="00752595" w:rsidRDefault="00000000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Порядок предоставления обеспечения исполнения контракта, требования к обеспечению</w:t>
      </w:r>
    </w:p>
    <w:p w14:paraId="0306F8C7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Исполнение контракта может обеспечиваться предоставлением независимой гарантии (далее-НГ), соответствующей требованиям ст.45 Закона №44-ФЗ, или внесением денежных средств на указанный в извещении счет с указанием в платежном поручении назначения платежа: «Обеспечение исполнения контракта (ИКЗ__)»:</w:t>
      </w:r>
    </w:p>
    <w:p w14:paraId="3D82A018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Получатель: УФК по Камчатскому краю (Администрация сельского поселения «Село Манилы» Пенжинского муниципального района Камчатского края), л/с 05383010150</w:t>
      </w:r>
    </w:p>
    <w:p w14:paraId="57447C3B" w14:textId="07FE899E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Банк: </w:t>
      </w:r>
      <w:r w:rsidR="0035445E" w:rsidRPr="0035445E">
        <w:rPr>
          <w:rFonts w:ascii="Times New Roman" w:hAnsi="Times New Roman"/>
        </w:rPr>
        <w:t>ОКЦ № 4 ДГУ Банка России</w:t>
      </w:r>
      <w:r>
        <w:rPr>
          <w:rFonts w:ascii="Times New Roman" w:hAnsi="Times New Roman"/>
        </w:rPr>
        <w:t xml:space="preserve"> // УФК по Камчатскому краю г. Петропавловск-Камчатский</w:t>
      </w:r>
    </w:p>
    <w:p w14:paraId="795EC729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БИК 013002402</w:t>
      </w:r>
    </w:p>
    <w:p w14:paraId="440B6708" w14:textId="2437C6CD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Казначейский счет </w:t>
      </w:r>
      <w:r w:rsidR="0035445E" w:rsidRPr="0035445E">
        <w:rPr>
          <w:rFonts w:ascii="Times New Roman" w:hAnsi="Times New Roman"/>
        </w:rPr>
        <w:t>03232643308294033800</w:t>
      </w:r>
    </w:p>
    <w:p w14:paraId="047C708E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ЕКС 40102810945370000031</w:t>
      </w:r>
    </w:p>
    <w:p w14:paraId="34F6B87A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ИНН/КПП 8204000483 / 820401001</w:t>
      </w:r>
    </w:p>
    <w:p w14:paraId="780FDF55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ОКТМО 30829403</w:t>
      </w:r>
    </w:p>
    <w:p w14:paraId="13F7B6DE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КБК 00000000000000000510</w:t>
      </w:r>
    </w:p>
    <w:p w14:paraId="212F2736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Способ обеспечения исполнения контракта (далее-ОИК), срок действия НГ определяются в соотв. с требованиями Закона №44-ФЗ участником закупки самостоятельно.При этом срок действия НГ должен превышать предусмотренный контрактом срок исполнения обязательств, которые должны быть обеспечены такой НГ, не менее чем на один месяц, в т.ч. в случае его изменения в соотв. со ст.95 Закона №44-ФЗ. Типовая форма НГ утверждена постановлением Правительства РФ от 08.11.2013 № 1005.В случае, если предложенные в заявке участника закупки цена, сумма цен единиц товара, работы, услуги снижены на 25 и более % по отношению к НМЦК, начальной сумме цен единиц товара, работы, услуги, участник закупки предоставляет ОИК с учетом положений ст.37 Закона №44-ФЗ. Документ, подтверждающий предоставление ОИК, размещается на электронной площадке одновременно с подписанным проектом контракта. Положения об ОИК, в т.ч. с учетом положений ст.37 Закона №44-ФЗ, не применяются в случае заключения контракта с казенным учреждением. </w:t>
      </w:r>
    </w:p>
    <w:p w14:paraId="28FFFDD0" w14:textId="77777777" w:rsidR="00752595" w:rsidRDefault="00752595">
      <w:pPr>
        <w:spacing w:after="0" w:line="240" w:lineRule="auto"/>
        <w:jc w:val="both"/>
        <w:rPr>
          <w:rFonts w:ascii="Times New Roman" w:hAnsi="Times New Roman"/>
        </w:rPr>
      </w:pPr>
    </w:p>
    <w:p w14:paraId="7FB8DB11" w14:textId="77777777" w:rsidR="00752595" w:rsidRDefault="00000000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Порядок предоставления обеспечения гарантийных обязательств, требования к обеспечению</w:t>
      </w:r>
    </w:p>
    <w:p w14:paraId="71B91874" w14:textId="77777777" w:rsidR="00752595" w:rsidRDefault="00000000">
      <w:pPr>
        <w:spacing w:after="0" w:line="240" w:lineRule="auto"/>
        <w:jc w:val="both"/>
        <w:rPr>
          <w:rStyle w:val="sectioninfo"/>
          <w:rFonts w:ascii="Times New Roman" w:hAnsi="Times New Roman"/>
        </w:rPr>
      </w:pPr>
      <w:r>
        <w:rPr>
          <w:rStyle w:val="sectioninfo"/>
          <w:rFonts w:ascii="Times New Roman" w:hAnsi="Times New Roman"/>
        </w:rPr>
        <w:t>Гарантийные обязательства могут обеспечиваться предоставлением независимой гарантии, соответствующей требованиям ст. 45 Закона № 44-ФЗ, или внесением денежных средств на указанный в извещении счет с обязательным указанием в платежном поручении назначения платежа: «Обеспечение гарантийных обязательств (ИКЗ __)»:</w:t>
      </w:r>
    </w:p>
    <w:p w14:paraId="64EC0EF4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Получатель: УФК по Камчатскому краю (Администрация сельского поселения «Село Манилы» Пенжинского муниципального района Камчатского края), л/с 05383010150</w:t>
      </w:r>
    </w:p>
    <w:p w14:paraId="4F06875F" w14:textId="1E080A5A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Банк: </w:t>
      </w:r>
      <w:r w:rsidR="0035445E" w:rsidRPr="0035445E">
        <w:rPr>
          <w:rFonts w:ascii="Times New Roman" w:hAnsi="Times New Roman"/>
        </w:rPr>
        <w:t>ОКЦ № 4 ДГУ Банка России</w:t>
      </w:r>
      <w:r>
        <w:rPr>
          <w:rFonts w:ascii="Times New Roman" w:hAnsi="Times New Roman"/>
        </w:rPr>
        <w:t>// УФК по Камчатскому краю г. Петропавловск-Камчатский</w:t>
      </w:r>
    </w:p>
    <w:p w14:paraId="48843475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БИК 013002402</w:t>
      </w:r>
    </w:p>
    <w:p w14:paraId="12DD4A64" w14:textId="10CEDFE1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Казначейский счет </w:t>
      </w:r>
      <w:r w:rsidR="0035445E" w:rsidRPr="0035445E">
        <w:rPr>
          <w:rFonts w:ascii="Times New Roman" w:hAnsi="Times New Roman"/>
        </w:rPr>
        <w:t>03232643308294033800</w:t>
      </w:r>
    </w:p>
    <w:p w14:paraId="4E7BA8A8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ЕКС 40102810945370000031</w:t>
      </w:r>
    </w:p>
    <w:p w14:paraId="7902160F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ИНН/КПП 8204000483 / 820401001</w:t>
      </w:r>
    </w:p>
    <w:p w14:paraId="60154644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ОКТМО 30829403</w:t>
      </w:r>
    </w:p>
    <w:p w14:paraId="2B35929E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КБК 00000000000000000510</w:t>
      </w:r>
    </w:p>
    <w:p w14:paraId="4146912A" w14:textId="77777777" w:rsidR="00752595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Style w:val="sectioninfo"/>
          <w:rFonts w:ascii="Times New Roman" w:hAnsi="Times New Roman"/>
        </w:rPr>
        <w:t xml:space="preserve">Способ обеспечения гарантийных обязательств (далее – ОГО), срок действия независимой гарантии определяются в соответствии с требованиями Закона № 44-ФЗ участником закупки, с которым заключается контракт, самостоятельно. 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ст. 95 Закона № 44-ФЗ. Порядок и срок предоставления поставщиком (подрядчиком, исполнителем) ОГО указаны в прикрепленном к настоящему извещению документе «Проект контракта». Положения извещения об осуществлении закупки об ОГО не применяются в случае заключения контракта с участником закупки, который является казенным учреждением. </w:t>
      </w:r>
    </w:p>
    <w:sectPr w:rsidR="00752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9B3170" w14:textId="77777777" w:rsidR="00BC6060" w:rsidRDefault="00BC6060">
      <w:pPr>
        <w:spacing w:after="0" w:line="240" w:lineRule="auto"/>
      </w:pPr>
      <w:r>
        <w:separator/>
      </w:r>
    </w:p>
  </w:endnote>
  <w:endnote w:type="continuationSeparator" w:id="0">
    <w:p w14:paraId="4648079B" w14:textId="77777777" w:rsidR="00BC6060" w:rsidRDefault="00BC6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9B0FE7" w14:textId="77777777" w:rsidR="00BC6060" w:rsidRDefault="00BC6060">
      <w:pPr>
        <w:spacing w:after="0" w:line="240" w:lineRule="auto"/>
      </w:pPr>
      <w:r>
        <w:separator/>
      </w:r>
    </w:p>
  </w:footnote>
  <w:footnote w:type="continuationSeparator" w:id="0">
    <w:p w14:paraId="42C6797A" w14:textId="77777777" w:rsidR="00BC6060" w:rsidRDefault="00BC60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95"/>
    <w:rsid w:val="0035445E"/>
    <w:rsid w:val="00752595"/>
    <w:rsid w:val="00BC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470E"/>
  <w15:docId w15:val="{3BDA3E6E-B380-41DA-B54E-CBDAD80F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uiPriority w:val="99"/>
  </w:style>
  <w:style w:type="character" w:customStyle="1" w:styleId="a3">
    <w:name w:val="Название объекта Знак"/>
    <w:basedOn w:val="a0"/>
    <w:link w:val="a4"/>
    <w:uiPriority w:val="35"/>
    <w:rPr>
      <w:b/>
      <w:bCs/>
      <w:color w:val="5B9BD5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5">
    <w:name w:val="header"/>
    <w:basedOn w:val="a"/>
    <w:link w:val="a6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</w:style>
  <w:style w:type="paragraph" w:styleId="a7">
    <w:name w:val="footer"/>
    <w:basedOn w:val="a"/>
    <w:link w:val="a8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8">
    <w:name w:val="Нижний колонтитул Знак"/>
    <w:link w:val="a7"/>
    <w:uiPriority w:val="99"/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a">
    <w:name w:val="Hyperlink"/>
    <w:uiPriority w:val="99"/>
    <w:unhideWhenUsed/>
    <w:rPr>
      <w:color w:val="0563C1" w:themeColor="hyperlink"/>
      <w:u w:val="single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2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link w:val="1"/>
    <w:uiPriority w:val="9"/>
    <w:rPr>
      <w:rFonts w:ascii="Cambria" w:hAnsi="Cambria"/>
      <w:b/>
      <w:bCs/>
      <w:sz w:val="32"/>
      <w:szCs w:val="32"/>
    </w:rPr>
  </w:style>
  <w:style w:type="character" w:customStyle="1" w:styleId="20">
    <w:name w:val="Заголовок 2 Знак"/>
    <w:link w:val="2"/>
    <w:semiHidden/>
    <w:rPr>
      <w:rFonts w:ascii="Arial" w:hAnsi="Arial" w:cs="Arial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semiHidden/>
    <w:rPr>
      <w:rFonts w:ascii="Calibri Light" w:hAnsi="Calibri Light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caption"/>
    <w:basedOn w:val="a"/>
    <w:next w:val="a"/>
    <w:link w:val="a3"/>
    <w:uiPriority w:val="35"/>
    <w:semiHidden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2">
    <w:name w:val="Title"/>
    <w:basedOn w:val="a"/>
    <w:next w:val="a"/>
    <w:link w:val="af3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4">
    <w:name w:val="Subtitle"/>
    <w:basedOn w:val="a"/>
    <w:next w:val="a"/>
    <w:link w:val="af5"/>
    <w:uiPriority w:val="11"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5">
    <w:name w:val="Подзаголовок Знак"/>
    <w:basedOn w:val="a0"/>
    <w:link w:val="af4"/>
    <w:uiPriority w:val="1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af6">
    <w:name w:val="Strong"/>
    <w:qFormat/>
    <w:rPr>
      <w:rFonts w:cs="Times New Roman"/>
      <w:b/>
    </w:rPr>
  </w:style>
  <w:style w:type="character" w:styleId="af7">
    <w:name w:val="Emphasis"/>
    <w:uiPriority w:val="20"/>
    <w:qFormat/>
    <w:rPr>
      <w:i/>
      <w:iCs/>
    </w:rPr>
  </w:style>
  <w:style w:type="paragraph" w:styleId="af8">
    <w:name w:val="No Spacing"/>
    <w:link w:val="af9"/>
    <w:uiPriority w:val="1"/>
    <w:qFormat/>
    <w:pPr>
      <w:jc w:val="both"/>
    </w:pPr>
    <w:rPr>
      <w:rFonts w:ascii="Times New Roman" w:hAnsi="Times New Roman"/>
      <w:sz w:val="24"/>
      <w:szCs w:val="24"/>
    </w:rPr>
  </w:style>
  <w:style w:type="character" w:customStyle="1" w:styleId="af9">
    <w:name w:val="Без интервала Знак"/>
    <w:link w:val="af8"/>
    <w:uiPriority w:val="1"/>
    <w:rPr>
      <w:rFonts w:ascii="Times New Roman" w:hAnsi="Times New Roman"/>
      <w:sz w:val="24"/>
      <w:szCs w:val="24"/>
    </w:rPr>
  </w:style>
  <w:style w:type="paragraph" w:styleId="afa">
    <w:name w:val="List Paragraph"/>
    <w:basedOn w:val="a"/>
    <w:link w:val="afb"/>
    <w:uiPriority w:val="34"/>
    <w:qFormat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</w:rPr>
  </w:style>
  <w:style w:type="character" w:customStyle="1" w:styleId="afb">
    <w:name w:val="Абзац списка Знак"/>
    <w:link w:val="afa"/>
    <w:uiPriority w:val="34"/>
    <w:qFormat/>
    <w:rPr>
      <w:rFonts w:ascii="Times New Roman" w:hAnsi="Times New Roman"/>
      <w:sz w:val="24"/>
      <w:szCs w:val="24"/>
    </w:rPr>
  </w:style>
  <w:style w:type="paragraph" w:styleId="23">
    <w:name w:val="Quote"/>
    <w:basedOn w:val="a"/>
    <w:next w:val="a"/>
    <w:link w:val="24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  <w:sz w:val="22"/>
      <w:szCs w:val="22"/>
    </w:rPr>
  </w:style>
  <w:style w:type="paragraph" w:styleId="afc">
    <w:name w:val="Intense Quote"/>
    <w:basedOn w:val="a"/>
    <w:next w:val="a"/>
    <w:link w:val="afd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d">
    <w:name w:val="Выделенная цитата Знак"/>
    <w:basedOn w:val="a0"/>
    <w:link w:val="afc"/>
    <w:uiPriority w:val="30"/>
    <w:rPr>
      <w:i/>
      <w:iCs/>
      <w:color w:val="5B9BD5" w:themeColor="accent1"/>
      <w:sz w:val="22"/>
      <w:szCs w:val="22"/>
    </w:rPr>
  </w:style>
  <w:style w:type="character" w:styleId="afe">
    <w:name w:val="Subtle Emphasis"/>
    <w:uiPriority w:val="19"/>
    <w:qFormat/>
    <w:rPr>
      <w:i/>
      <w:iCs/>
      <w:color w:val="404040" w:themeColor="text1" w:themeTint="BF"/>
    </w:rPr>
  </w:style>
  <w:style w:type="character" w:styleId="aff">
    <w:name w:val="Intense Emphasis"/>
    <w:uiPriority w:val="21"/>
    <w:qFormat/>
    <w:rPr>
      <w:i/>
      <w:iCs/>
      <w:color w:val="5B9BD5" w:themeColor="accent1"/>
    </w:rPr>
  </w:style>
  <w:style w:type="character" w:styleId="aff0">
    <w:name w:val="Subtle Reference"/>
    <w:uiPriority w:val="31"/>
    <w:qFormat/>
    <w:rPr>
      <w:smallCaps/>
      <w:color w:val="5A5A5A" w:themeColor="text1" w:themeTint="A5"/>
    </w:rPr>
  </w:style>
  <w:style w:type="character" w:styleId="aff1">
    <w:name w:val="Intense Reference"/>
    <w:uiPriority w:val="32"/>
    <w:qFormat/>
    <w:rPr>
      <w:b/>
      <w:bCs/>
      <w:smallCaps/>
      <w:color w:val="5B9BD5" w:themeColor="accent1"/>
      <w:spacing w:val="5"/>
    </w:rPr>
  </w:style>
  <w:style w:type="character" w:styleId="aff2">
    <w:name w:val="Book Title"/>
    <w:uiPriority w:val="33"/>
    <w:qFormat/>
    <w:rPr>
      <w:b/>
      <w:bCs/>
      <w:i/>
      <w:iCs/>
      <w:spacing w:val="5"/>
    </w:rPr>
  </w:style>
  <w:style w:type="paragraph" w:styleId="aff3">
    <w:name w:val="TOC Heading"/>
    <w:basedOn w:val="1"/>
    <w:next w:val="a"/>
    <w:uiPriority w:val="39"/>
    <w:semiHidden/>
    <w:unhideWhenUsed/>
    <w:qFormat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</w:rPr>
  </w:style>
  <w:style w:type="paragraph" w:customStyle="1" w:styleId="ConsPlusNormal">
    <w:name w:val="ConsPlusNormal"/>
    <w:link w:val="ConsPlusNormal0"/>
    <w:qFormat/>
    <w:pPr>
      <w:widowControl w:val="0"/>
      <w:ind w:firstLine="720"/>
    </w:pPr>
    <w:rPr>
      <w:rFonts w:ascii="Arial" w:eastAsia="Times New Roman" w:hAnsi="Arial" w:cs="Arial"/>
    </w:rPr>
  </w:style>
  <w:style w:type="character" w:customStyle="1" w:styleId="ConsPlusNormal0">
    <w:name w:val="ConsPlusNormal Знак"/>
    <w:link w:val="ConsPlusNormal"/>
    <w:rPr>
      <w:rFonts w:ascii="Arial" w:eastAsia="Times New Roman" w:hAnsi="Arial" w:cs="Arial"/>
    </w:rPr>
  </w:style>
  <w:style w:type="character" w:customStyle="1" w:styleId="sectioninfo">
    <w:name w:val="section__info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945</Words>
  <Characters>5391</Characters>
  <Application>Microsoft Office Word</Application>
  <DocSecurity>0</DocSecurity>
  <Lines>44</Lines>
  <Paragraphs>12</Paragraphs>
  <ScaleCrop>false</ScaleCrop>
  <Company/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Ivan</cp:lastModifiedBy>
  <cp:revision>10</cp:revision>
  <dcterms:created xsi:type="dcterms:W3CDTF">2025-02-20T14:00:00Z</dcterms:created>
  <dcterms:modified xsi:type="dcterms:W3CDTF">2025-12-03T07:54:00Z</dcterms:modified>
</cp:coreProperties>
</file>