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D3E" w:rsidRPr="00043888" w:rsidRDefault="00376320" w:rsidP="00043888">
      <w:pPr>
        <w:jc w:val="center"/>
        <w:rPr>
          <w:sz w:val="32"/>
          <w:szCs w:val="32"/>
        </w:rPr>
      </w:pPr>
      <w:r>
        <w:rPr>
          <w:sz w:val="32"/>
          <w:szCs w:val="32"/>
        </w:rPr>
        <w:t>&lt;Company&gt;</w:t>
      </w:r>
      <w:r w:rsidR="00043888" w:rsidRPr="00043888">
        <w:rPr>
          <w:sz w:val="32"/>
          <w:szCs w:val="32"/>
        </w:rPr>
        <w:t xml:space="preserve"> System, Inc.</w:t>
      </w:r>
    </w:p>
    <w:p w:rsidR="00043888" w:rsidRDefault="00043888"/>
    <w:p w:rsidR="0037114F" w:rsidRDefault="0037114F"/>
    <w:p w:rsidR="0037114F" w:rsidRDefault="0037114F"/>
    <w:p w:rsidR="0037114F" w:rsidRDefault="0037114F"/>
    <w:p w:rsidR="00043888" w:rsidRDefault="00043888"/>
    <w:p w:rsidR="00043888" w:rsidRDefault="00043888"/>
    <w:p w:rsidR="00043888" w:rsidRPr="002918A0" w:rsidRDefault="005708D3" w:rsidP="00043888">
      <w:pPr>
        <w:jc w:val="center"/>
        <w:rPr>
          <w:color w:val="2E74B5" w:themeColor="accent1" w:themeShade="BF"/>
          <w:sz w:val="44"/>
          <w:szCs w:val="28"/>
        </w:rPr>
      </w:pPr>
      <w:r>
        <w:rPr>
          <w:color w:val="2E74B5" w:themeColor="accent1" w:themeShade="BF"/>
          <w:sz w:val="44"/>
          <w:szCs w:val="28"/>
        </w:rPr>
        <w:t>Intelligent Automation</w:t>
      </w:r>
    </w:p>
    <w:p w:rsidR="00043888" w:rsidRPr="00043888" w:rsidRDefault="001658C4" w:rsidP="00043888">
      <w:pPr>
        <w:jc w:val="center"/>
        <w:rPr>
          <w:sz w:val="28"/>
          <w:szCs w:val="28"/>
        </w:rPr>
      </w:pPr>
      <w:r>
        <w:rPr>
          <w:sz w:val="28"/>
          <w:szCs w:val="28"/>
        </w:rPr>
        <w:t>Automation Migration Planning</w:t>
      </w:r>
      <w:r w:rsidR="003252F2">
        <w:rPr>
          <w:sz w:val="28"/>
          <w:szCs w:val="28"/>
        </w:rPr>
        <w:t xml:space="preserve"> Checklist</w:t>
      </w:r>
    </w:p>
    <w:p w:rsidR="00043888" w:rsidRDefault="00043888" w:rsidP="00043888">
      <w:pPr>
        <w:jc w:val="center"/>
      </w:pPr>
    </w:p>
    <w:p w:rsidR="00043888" w:rsidRDefault="00043888" w:rsidP="00043888">
      <w:pPr>
        <w:jc w:val="center"/>
      </w:pPr>
    </w:p>
    <w:p w:rsidR="00043888" w:rsidRDefault="00043888" w:rsidP="00043888">
      <w:pPr>
        <w:jc w:val="center"/>
      </w:pPr>
    </w:p>
    <w:p w:rsidR="00043888" w:rsidRDefault="00043888" w:rsidP="00043888">
      <w:pPr>
        <w:jc w:val="center"/>
      </w:pPr>
    </w:p>
    <w:p w:rsidR="00043888" w:rsidRDefault="00043888" w:rsidP="00043888">
      <w:pPr>
        <w:jc w:val="center"/>
      </w:pPr>
    </w:p>
    <w:p w:rsidR="00043888" w:rsidRDefault="00043888" w:rsidP="00043888">
      <w:pPr>
        <w:jc w:val="center"/>
      </w:pPr>
    </w:p>
    <w:p w:rsidR="00043888" w:rsidRDefault="00043888" w:rsidP="00043888">
      <w:pPr>
        <w:jc w:val="center"/>
      </w:pPr>
    </w:p>
    <w:p w:rsidR="0037114F" w:rsidRDefault="0037114F"/>
    <w:p w:rsidR="0037114F" w:rsidRDefault="0037114F"/>
    <w:p w:rsidR="0037114F" w:rsidRDefault="0037114F"/>
    <w:p w:rsidR="0037114F" w:rsidRDefault="0037114F"/>
    <w:p w:rsidR="0037114F" w:rsidRDefault="0037114F"/>
    <w:p w:rsidR="0037114F" w:rsidRDefault="0037114F"/>
    <w:p w:rsidR="0037114F" w:rsidRDefault="0037114F"/>
    <w:p w:rsidR="0037114F" w:rsidRDefault="0037114F"/>
    <w:p w:rsidR="0037114F" w:rsidRDefault="0037114F"/>
    <w:p w:rsidR="0037114F" w:rsidRDefault="0037114F"/>
    <w:p w:rsidR="0037114F" w:rsidRDefault="0037114F"/>
    <w:p w:rsidR="0037114F" w:rsidRDefault="0037114F"/>
    <w:p w:rsidR="0037114F" w:rsidRDefault="0037114F"/>
    <w:p w:rsidR="0090008A" w:rsidRDefault="00043888" w:rsidP="0090008A">
      <w:pPr>
        <w:jc w:val="center"/>
        <w:sectPr w:rsidR="0090008A" w:rsidSect="007372EB">
          <w:footerReference w:type="default" r:id="rId8"/>
          <w:pgSz w:w="11906" w:h="16838"/>
          <w:pgMar w:top="1440" w:right="1440" w:bottom="1440" w:left="1440" w:header="709" w:footer="709" w:gutter="0"/>
          <w:pgBorders w:offsetFrom="page">
            <w:top w:val="thinThickSmallGap" w:sz="18" w:space="31" w:color="auto"/>
            <w:left w:val="thinThickSmallGap" w:sz="18" w:space="31" w:color="auto"/>
            <w:bottom w:val="thickThinSmallGap" w:sz="18" w:space="31" w:color="auto"/>
            <w:right w:val="thickThinSmallGap" w:sz="18" w:space="31" w:color="auto"/>
          </w:pgBorders>
          <w:cols w:space="708"/>
          <w:titlePg/>
          <w:docGrid w:linePitch="360"/>
        </w:sectPr>
      </w:pPr>
      <w:r>
        <w:t>Confidential</w:t>
      </w:r>
    </w:p>
    <w:p w:rsidR="00002629" w:rsidRDefault="00002629" w:rsidP="00002629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  <w:lastRenderedPageBreak/>
        <w:t>Versioning</w:t>
      </w:r>
    </w:p>
    <w:tbl>
      <w:tblPr>
        <w:tblpPr w:leftFromText="180" w:rightFromText="180" w:horzAnchor="margin" w:tblpY="1022"/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0"/>
        <w:gridCol w:w="1559"/>
        <w:gridCol w:w="3827"/>
        <w:gridCol w:w="2694"/>
      </w:tblGrid>
      <w:tr w:rsidR="00002629" w:rsidRPr="00155B02" w:rsidTr="00284906">
        <w:trPr>
          <w:trHeight w:val="694"/>
        </w:trPr>
        <w:tc>
          <w:tcPr>
            <w:tcW w:w="1410" w:type="dxa"/>
            <w:vAlign w:val="center"/>
          </w:tcPr>
          <w:p w:rsidR="00002629" w:rsidRPr="00857B93" w:rsidRDefault="00002629" w:rsidP="00284906">
            <w:pPr>
              <w:pStyle w:val="Tabletext"/>
              <w:jc w:val="center"/>
              <w:rPr>
                <w:rFonts w:asciiTheme="majorHAnsi" w:hAnsiTheme="majorHAnsi" w:cs="Arial"/>
              </w:rPr>
            </w:pPr>
            <w:r w:rsidRPr="00857B93">
              <w:rPr>
                <w:rFonts w:asciiTheme="majorHAnsi" w:hAnsiTheme="majorHAnsi" w:cs="Arial"/>
              </w:rPr>
              <w:t>Date</w:t>
            </w:r>
          </w:p>
        </w:tc>
        <w:tc>
          <w:tcPr>
            <w:tcW w:w="1559" w:type="dxa"/>
            <w:vAlign w:val="center"/>
          </w:tcPr>
          <w:p w:rsidR="00002629" w:rsidRPr="00857B93" w:rsidRDefault="00002629" w:rsidP="00284906">
            <w:pPr>
              <w:pStyle w:val="Tabletext"/>
              <w:jc w:val="center"/>
              <w:rPr>
                <w:rFonts w:asciiTheme="majorHAnsi" w:hAnsiTheme="majorHAnsi" w:cs="Arial"/>
              </w:rPr>
            </w:pPr>
            <w:r w:rsidRPr="00857B93">
              <w:rPr>
                <w:rFonts w:asciiTheme="majorHAnsi" w:hAnsiTheme="majorHAnsi" w:cs="Arial"/>
              </w:rPr>
              <w:t>Version</w:t>
            </w:r>
          </w:p>
        </w:tc>
        <w:tc>
          <w:tcPr>
            <w:tcW w:w="3827" w:type="dxa"/>
            <w:vAlign w:val="center"/>
          </w:tcPr>
          <w:p w:rsidR="00002629" w:rsidRPr="00857B93" w:rsidRDefault="00002629" w:rsidP="00284906">
            <w:pPr>
              <w:pStyle w:val="Tabletext"/>
              <w:jc w:val="center"/>
              <w:rPr>
                <w:rFonts w:asciiTheme="majorHAnsi" w:hAnsiTheme="majorHAnsi" w:cs="Arial"/>
              </w:rPr>
            </w:pPr>
            <w:r w:rsidRPr="00857B93">
              <w:rPr>
                <w:rFonts w:asciiTheme="majorHAnsi" w:hAnsiTheme="majorHAnsi" w:cs="Arial"/>
              </w:rPr>
              <w:t>Description</w:t>
            </w:r>
          </w:p>
        </w:tc>
        <w:tc>
          <w:tcPr>
            <w:tcW w:w="2694" w:type="dxa"/>
            <w:vAlign w:val="center"/>
          </w:tcPr>
          <w:p w:rsidR="00002629" w:rsidRPr="00857B93" w:rsidRDefault="00002629" w:rsidP="00284906">
            <w:pPr>
              <w:pStyle w:val="Tabletext"/>
              <w:jc w:val="center"/>
              <w:rPr>
                <w:rFonts w:asciiTheme="majorHAnsi" w:hAnsiTheme="majorHAnsi" w:cs="Arial"/>
              </w:rPr>
            </w:pPr>
            <w:r w:rsidRPr="00857B93">
              <w:rPr>
                <w:rFonts w:asciiTheme="majorHAnsi" w:hAnsiTheme="majorHAnsi" w:cs="Arial"/>
              </w:rPr>
              <w:t>Author</w:t>
            </w:r>
          </w:p>
        </w:tc>
      </w:tr>
      <w:tr w:rsidR="00002629" w:rsidRPr="00155B02" w:rsidTr="00284906">
        <w:trPr>
          <w:trHeight w:val="371"/>
        </w:trPr>
        <w:tc>
          <w:tcPr>
            <w:tcW w:w="1410" w:type="dxa"/>
          </w:tcPr>
          <w:p w:rsidR="00002629" w:rsidRPr="00BF7F58" w:rsidRDefault="00002629" w:rsidP="00284906">
            <w:pPr>
              <w:pStyle w:val="Tabletext"/>
              <w:spacing w:after="0" w:line="240" w:lineRule="auto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21</w:t>
            </w:r>
            <w:r w:rsidRPr="00BF7F58">
              <w:rPr>
                <w:rFonts w:asciiTheme="minorHAnsi" w:hAnsiTheme="minorHAnsi" w:cs="Arial"/>
                <w:sz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</w:rPr>
              <w:t>Nov</w:t>
            </w:r>
            <w:r w:rsidRPr="00BF7F58">
              <w:rPr>
                <w:rFonts w:asciiTheme="minorHAnsi" w:hAnsiTheme="minorHAnsi" w:cs="Arial"/>
                <w:sz w:val="20"/>
              </w:rPr>
              <w:t xml:space="preserve"> 2018</w:t>
            </w:r>
          </w:p>
        </w:tc>
        <w:tc>
          <w:tcPr>
            <w:tcW w:w="1559" w:type="dxa"/>
          </w:tcPr>
          <w:p w:rsidR="00002629" w:rsidRPr="00BF7F58" w:rsidRDefault="00002629" w:rsidP="00284906">
            <w:pPr>
              <w:pStyle w:val="Tabletext"/>
              <w:spacing w:after="0" w:line="240" w:lineRule="auto"/>
              <w:jc w:val="center"/>
              <w:rPr>
                <w:rFonts w:asciiTheme="minorHAnsi" w:hAnsiTheme="minorHAnsi" w:cs="Arial"/>
                <w:sz w:val="20"/>
              </w:rPr>
            </w:pPr>
            <w:r w:rsidRPr="00BF7F58">
              <w:rPr>
                <w:rFonts w:asciiTheme="minorHAnsi" w:hAnsiTheme="minorHAnsi" w:cs="Arial"/>
                <w:sz w:val="20"/>
              </w:rPr>
              <w:t>1.0</w:t>
            </w:r>
          </w:p>
        </w:tc>
        <w:tc>
          <w:tcPr>
            <w:tcW w:w="3827" w:type="dxa"/>
          </w:tcPr>
          <w:p w:rsidR="00002629" w:rsidRPr="00BF7F58" w:rsidRDefault="00002629" w:rsidP="00002629">
            <w:pPr>
              <w:pStyle w:val="Tabletext"/>
              <w:spacing w:after="0" w:line="240" w:lineRule="auto"/>
              <w:rPr>
                <w:rFonts w:asciiTheme="minorHAnsi" w:hAnsiTheme="minorHAnsi" w:cs="Arial"/>
                <w:sz w:val="20"/>
              </w:rPr>
            </w:pPr>
            <w:r w:rsidRPr="00BF7F58">
              <w:rPr>
                <w:rFonts w:asciiTheme="minorHAnsi" w:hAnsiTheme="minorHAnsi" w:cs="Arial"/>
                <w:sz w:val="20"/>
              </w:rPr>
              <w:t>Discussion version – David, Srinivas</w:t>
            </w:r>
            <w:r>
              <w:rPr>
                <w:rFonts w:asciiTheme="minorHAnsi" w:hAnsiTheme="minorHAnsi" w:cs="Arial"/>
                <w:sz w:val="20"/>
              </w:rPr>
              <w:t>, Robert</w:t>
            </w:r>
          </w:p>
        </w:tc>
        <w:tc>
          <w:tcPr>
            <w:tcW w:w="2694" w:type="dxa"/>
          </w:tcPr>
          <w:p w:rsidR="00002629" w:rsidRPr="00BF7F58" w:rsidRDefault="00002629" w:rsidP="00284906">
            <w:pPr>
              <w:pStyle w:val="Tabletext"/>
              <w:spacing w:after="0" w:line="240" w:lineRule="auto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Mayank Patel &amp; </w:t>
            </w:r>
            <w:r w:rsidRPr="00BF7F58">
              <w:rPr>
                <w:rFonts w:asciiTheme="minorHAnsi" w:hAnsiTheme="minorHAnsi" w:cs="Arial"/>
                <w:sz w:val="20"/>
              </w:rPr>
              <w:t>Shubhen Sarangi, Datamatics</w:t>
            </w:r>
          </w:p>
          <w:p w:rsidR="00002629" w:rsidRPr="00BF7F58" w:rsidRDefault="00002629" w:rsidP="00284906">
            <w:pPr>
              <w:pStyle w:val="Tabletext"/>
              <w:spacing w:after="0" w:line="240" w:lineRule="auto"/>
              <w:rPr>
                <w:rFonts w:asciiTheme="minorHAnsi" w:hAnsiTheme="minorHAnsi" w:cs="Arial"/>
                <w:sz w:val="20"/>
              </w:rPr>
            </w:pPr>
          </w:p>
        </w:tc>
      </w:tr>
      <w:tr w:rsidR="00002629" w:rsidRPr="00155B02" w:rsidTr="00284906">
        <w:trPr>
          <w:trHeight w:val="471"/>
        </w:trPr>
        <w:tc>
          <w:tcPr>
            <w:tcW w:w="1410" w:type="dxa"/>
          </w:tcPr>
          <w:p w:rsidR="00002629" w:rsidRPr="00BF7F58" w:rsidRDefault="00002629" w:rsidP="00284906">
            <w:pPr>
              <w:pStyle w:val="Tabletext"/>
              <w:spacing w:after="0" w:line="240" w:lineRule="auto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1559" w:type="dxa"/>
          </w:tcPr>
          <w:p w:rsidR="00002629" w:rsidRPr="00BF7F58" w:rsidRDefault="00002629" w:rsidP="00284906">
            <w:pPr>
              <w:pStyle w:val="Tabletext"/>
              <w:spacing w:after="0" w:line="240" w:lineRule="auto"/>
              <w:jc w:val="center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3827" w:type="dxa"/>
          </w:tcPr>
          <w:p w:rsidR="00002629" w:rsidRPr="00BF7F58" w:rsidRDefault="00002629" w:rsidP="00284906">
            <w:pPr>
              <w:pStyle w:val="Tabletext"/>
              <w:spacing w:after="0" w:line="240" w:lineRule="auto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2694" w:type="dxa"/>
          </w:tcPr>
          <w:p w:rsidR="00002629" w:rsidRPr="00BF7F58" w:rsidRDefault="00002629" w:rsidP="00284906">
            <w:pPr>
              <w:pStyle w:val="Tabletext"/>
              <w:spacing w:after="0" w:line="240" w:lineRule="auto"/>
              <w:rPr>
                <w:rFonts w:asciiTheme="minorHAnsi" w:hAnsiTheme="minorHAnsi" w:cs="Arial"/>
                <w:sz w:val="20"/>
              </w:rPr>
            </w:pPr>
          </w:p>
        </w:tc>
      </w:tr>
      <w:tr w:rsidR="00002629" w:rsidRPr="00155B02" w:rsidTr="00284906">
        <w:trPr>
          <w:trHeight w:val="371"/>
        </w:trPr>
        <w:tc>
          <w:tcPr>
            <w:tcW w:w="1410" w:type="dxa"/>
          </w:tcPr>
          <w:p w:rsidR="00002629" w:rsidRDefault="00002629" w:rsidP="00284906">
            <w:pPr>
              <w:pStyle w:val="Tabletext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</w:tcPr>
          <w:p w:rsidR="00002629" w:rsidRDefault="00002629" w:rsidP="00284906">
            <w:pPr>
              <w:pStyle w:val="Tabletext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827" w:type="dxa"/>
          </w:tcPr>
          <w:p w:rsidR="00002629" w:rsidRDefault="00002629" w:rsidP="00284906">
            <w:pPr>
              <w:pStyle w:val="Tabletext"/>
              <w:rPr>
                <w:rFonts w:asciiTheme="minorHAnsi" w:hAnsiTheme="minorHAnsi" w:cs="Arial"/>
              </w:rPr>
            </w:pPr>
          </w:p>
        </w:tc>
        <w:tc>
          <w:tcPr>
            <w:tcW w:w="2694" w:type="dxa"/>
          </w:tcPr>
          <w:p w:rsidR="00002629" w:rsidRDefault="00002629" w:rsidP="00284906">
            <w:pPr>
              <w:pStyle w:val="Tabletext"/>
              <w:rPr>
                <w:rFonts w:asciiTheme="minorHAnsi" w:hAnsiTheme="minorHAnsi" w:cs="Arial"/>
              </w:rPr>
            </w:pPr>
          </w:p>
        </w:tc>
      </w:tr>
    </w:tbl>
    <w:p w:rsidR="0018399E" w:rsidRDefault="0018399E" w:rsidP="000652C8">
      <w:pPr>
        <w:pStyle w:val="TOCHeading"/>
      </w:pPr>
    </w:p>
    <w:p w:rsidR="0018399E" w:rsidRDefault="0018399E" w:rsidP="0090008A">
      <w:pPr>
        <w:jc w:val="center"/>
      </w:pPr>
    </w:p>
    <w:p w:rsidR="0018399E" w:rsidRDefault="0018399E" w:rsidP="0090008A">
      <w:pPr>
        <w:jc w:val="center"/>
      </w:pPr>
    </w:p>
    <w:p w:rsidR="0018399E" w:rsidRDefault="0018399E" w:rsidP="0090008A">
      <w:pPr>
        <w:jc w:val="center"/>
      </w:pPr>
    </w:p>
    <w:p w:rsidR="0018399E" w:rsidRDefault="0018399E" w:rsidP="0090008A">
      <w:pPr>
        <w:jc w:val="center"/>
      </w:pPr>
    </w:p>
    <w:p w:rsidR="0018399E" w:rsidRDefault="0018399E" w:rsidP="0090008A">
      <w:pPr>
        <w:jc w:val="center"/>
      </w:pPr>
    </w:p>
    <w:p w:rsidR="0018399E" w:rsidRDefault="0018399E" w:rsidP="0090008A">
      <w:pPr>
        <w:jc w:val="center"/>
      </w:pPr>
    </w:p>
    <w:p w:rsidR="0018399E" w:rsidRDefault="0018399E" w:rsidP="0090008A">
      <w:pPr>
        <w:jc w:val="center"/>
      </w:pPr>
    </w:p>
    <w:p w:rsidR="0018399E" w:rsidRDefault="0018399E" w:rsidP="0090008A">
      <w:pPr>
        <w:jc w:val="center"/>
      </w:pPr>
    </w:p>
    <w:p w:rsidR="0018399E" w:rsidRDefault="0018399E" w:rsidP="0090008A">
      <w:pPr>
        <w:jc w:val="center"/>
      </w:pPr>
    </w:p>
    <w:p w:rsidR="0018399E" w:rsidRDefault="0018399E" w:rsidP="0090008A">
      <w:pPr>
        <w:jc w:val="center"/>
      </w:pPr>
    </w:p>
    <w:p w:rsidR="0018399E" w:rsidRDefault="0018399E" w:rsidP="0090008A">
      <w:pPr>
        <w:jc w:val="center"/>
      </w:pPr>
    </w:p>
    <w:p w:rsidR="0018399E" w:rsidRDefault="0018399E" w:rsidP="0090008A">
      <w:pPr>
        <w:jc w:val="center"/>
      </w:pPr>
    </w:p>
    <w:p w:rsidR="0018399E" w:rsidRDefault="0018399E" w:rsidP="0090008A">
      <w:pPr>
        <w:jc w:val="center"/>
      </w:pPr>
    </w:p>
    <w:p w:rsidR="0018399E" w:rsidRDefault="0018399E" w:rsidP="0090008A">
      <w:pPr>
        <w:jc w:val="center"/>
      </w:pPr>
    </w:p>
    <w:p w:rsidR="004F0DE7" w:rsidRDefault="004F0DE7">
      <w:r>
        <w:br w:type="page"/>
      </w:r>
    </w:p>
    <w:p w:rsidR="00D937DF" w:rsidRPr="00D937DF" w:rsidRDefault="00D937DF" w:rsidP="00D937DF">
      <w:pPr>
        <w:pStyle w:val="Heading1"/>
      </w:pPr>
      <w:r w:rsidRPr="00D937DF">
        <w:lastRenderedPageBreak/>
        <w:t>Automation Migration –</w:t>
      </w:r>
      <w:r>
        <w:t xml:space="preserve"> Planning </w:t>
      </w:r>
    </w:p>
    <w:p w:rsidR="007D056A" w:rsidRDefault="007D056A" w:rsidP="00D937DF"/>
    <w:p w:rsidR="00F13377" w:rsidRDefault="00D937DF" w:rsidP="00D937DF">
      <w:r>
        <w:t xml:space="preserve">Automation Migration refers to automations that may have been developed in other technologies, using intelligent automation products other than </w:t>
      </w:r>
      <w:r w:rsidR="00376320">
        <w:t>&lt;Company&gt;</w:t>
      </w:r>
      <w:r>
        <w:t xml:space="preserve">’s Intelligent Automation COE Standard either by </w:t>
      </w:r>
      <w:r w:rsidR="00376320">
        <w:t>&lt;Company&gt;</w:t>
      </w:r>
      <w:r>
        <w:t xml:space="preserve">’s IA COE or by other business units or vendors.  </w:t>
      </w:r>
      <w:r w:rsidR="00BF1CFC">
        <w:t xml:space="preserve">At the time of preparing this checklist, </w:t>
      </w:r>
      <w:r w:rsidR="00376320">
        <w:t>&lt;Company&gt;</w:t>
      </w:r>
      <w:r w:rsidR="00BF1CFC">
        <w:t xml:space="preserve"> had deployed automations using Kofax Kapow and Datamatics TruBot at other business units in Texas and Atlanta.  </w:t>
      </w:r>
    </w:p>
    <w:p w:rsidR="00D937DF" w:rsidRDefault="00E953A6" w:rsidP="00D937DF">
      <w:r>
        <w:t xml:space="preserve">Integrating </w:t>
      </w:r>
      <w:r w:rsidR="00F13377">
        <w:t xml:space="preserve">all automation deployment and management </w:t>
      </w:r>
      <w:r>
        <w:t xml:space="preserve">of all automation deployments will </w:t>
      </w:r>
      <w:r w:rsidR="00F13377">
        <w:t xml:space="preserve">streamline oversight and ensure focus on </w:t>
      </w:r>
      <w:r>
        <w:t xml:space="preserve">business outcomes targeted by </w:t>
      </w:r>
      <w:r w:rsidR="00376320">
        <w:t>&lt;Company&gt;</w:t>
      </w:r>
      <w:r>
        <w:t xml:space="preserve">’s Intelligent Automation program, help standardize management &amp; support processes and also leverage the competencies available through the </w:t>
      </w:r>
      <w:r w:rsidR="00F13377">
        <w:t xml:space="preserve">Intelligent Automation </w:t>
      </w:r>
      <w:r>
        <w:t>COE for more efficient usage of automation skills and resources.</w:t>
      </w:r>
    </w:p>
    <w:p w:rsidR="00E953A6" w:rsidRDefault="00420394" w:rsidP="00420394">
      <w:pPr>
        <w:pStyle w:val="Heading1"/>
      </w:pPr>
      <w:r>
        <w:t>Migration Decision-making</w:t>
      </w:r>
    </w:p>
    <w:p w:rsidR="00D937DF" w:rsidRDefault="00BF1CFC" w:rsidP="00D937DF">
      <w:r>
        <w:t xml:space="preserve">Business decision to migrate existing automations </w:t>
      </w:r>
      <w:r w:rsidR="00D937DF">
        <w:t>will be initiated by IA COE Director after consultations with respective business and IT stakeholders.</w:t>
      </w:r>
      <w:r>
        <w:t xml:space="preserve">  COE Director will also coordinate the finalization of an integrated business, technical and transition plan to ensure smooth management of the migration process.</w:t>
      </w:r>
    </w:p>
    <w:p w:rsidR="00244DE6" w:rsidRDefault="00420394" w:rsidP="00420394">
      <w:pPr>
        <w:pStyle w:val="Heading1"/>
      </w:pPr>
      <w:r>
        <w:t>Migration Considerations</w:t>
      </w:r>
    </w:p>
    <w:p w:rsidR="00EE15A4" w:rsidRDefault="00D937DF" w:rsidP="00D937DF">
      <w:r>
        <w:t xml:space="preserve">Migration will be coordinated by COE Director or COE Staff (manager, analyst) designated by COE Director.  </w:t>
      </w:r>
    </w:p>
    <w:p w:rsidR="00D937DF" w:rsidRDefault="00D937DF" w:rsidP="00D937DF">
      <w:r>
        <w:t>Following checklist is a tool for the reference of COE Director or COE Staff in managing the migration:</w:t>
      </w:r>
      <w:bookmarkStart w:id="0" w:name="_GoBack"/>
      <w:bookmarkEnd w:id="0"/>
    </w:p>
    <w:p w:rsidR="00244DE6" w:rsidRDefault="00244DE6" w:rsidP="00D937DF"/>
    <w:tbl>
      <w:tblPr>
        <w:tblStyle w:val="TableGrid"/>
        <w:tblW w:w="9067" w:type="dxa"/>
        <w:tblLook w:val="04A0"/>
      </w:tblPr>
      <w:tblGrid>
        <w:gridCol w:w="700"/>
        <w:gridCol w:w="4308"/>
        <w:gridCol w:w="1692"/>
        <w:gridCol w:w="2367"/>
      </w:tblGrid>
      <w:tr w:rsidR="00D937DF" w:rsidTr="009E2ED6">
        <w:trPr>
          <w:tblHeader/>
        </w:trPr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Pr="006032F5" w:rsidRDefault="00D937DF" w:rsidP="00401A8F">
            <w:pPr>
              <w:rPr>
                <w:rFonts w:asciiTheme="majorHAnsi" w:hAnsiTheme="majorHAnsi"/>
                <w:color w:val="1F4E79" w:themeColor="accent1" w:themeShade="80"/>
              </w:rPr>
            </w:pPr>
            <w:r w:rsidRPr="006032F5">
              <w:rPr>
                <w:rFonts w:asciiTheme="majorHAnsi" w:hAnsiTheme="majorHAnsi"/>
                <w:color w:val="1F4E79" w:themeColor="accent1" w:themeShade="80"/>
              </w:rPr>
              <w:t>Nbr.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Pr="006032F5" w:rsidRDefault="00D937DF" w:rsidP="00401A8F">
            <w:pPr>
              <w:rPr>
                <w:rFonts w:asciiTheme="majorHAnsi" w:hAnsiTheme="majorHAnsi"/>
                <w:color w:val="1F4E79" w:themeColor="accent1" w:themeShade="80"/>
              </w:rPr>
            </w:pPr>
            <w:r w:rsidRPr="006032F5">
              <w:rPr>
                <w:rFonts w:asciiTheme="majorHAnsi" w:hAnsiTheme="majorHAnsi"/>
                <w:color w:val="1F4E79" w:themeColor="accent1" w:themeShade="80"/>
              </w:rPr>
              <w:t>Step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Pr="006032F5" w:rsidRDefault="00D937DF" w:rsidP="00401A8F">
            <w:pPr>
              <w:rPr>
                <w:rFonts w:asciiTheme="majorHAnsi" w:hAnsiTheme="majorHAnsi"/>
                <w:color w:val="1F4E79" w:themeColor="accent1" w:themeShade="80"/>
              </w:rPr>
            </w:pPr>
            <w:r w:rsidRPr="006032F5">
              <w:rPr>
                <w:rFonts w:asciiTheme="majorHAnsi" w:hAnsiTheme="majorHAnsi"/>
                <w:color w:val="1F4E79" w:themeColor="accent1" w:themeShade="80"/>
              </w:rPr>
              <w:t>Responsible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Pr="006032F5" w:rsidRDefault="00D937DF" w:rsidP="00401A8F">
            <w:pPr>
              <w:rPr>
                <w:rFonts w:asciiTheme="majorHAnsi" w:hAnsiTheme="majorHAnsi"/>
                <w:color w:val="1F4E79" w:themeColor="accent1" w:themeShade="80"/>
              </w:rPr>
            </w:pPr>
            <w:r w:rsidRPr="006032F5">
              <w:rPr>
                <w:rFonts w:asciiTheme="majorHAnsi" w:hAnsiTheme="majorHAnsi"/>
                <w:color w:val="1F4E79" w:themeColor="accent1" w:themeShade="80"/>
              </w:rPr>
              <w:t>Artifacts</w:t>
            </w:r>
          </w:p>
        </w:tc>
      </w:tr>
      <w:tr w:rsidR="00D937DF" w:rsidTr="009E2ED6">
        <w:trPr>
          <w:trHeight w:val="458"/>
        </w:trPr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937DF" w:rsidRPr="000A4EC1" w:rsidRDefault="00244DE6" w:rsidP="000A4EC1">
            <w:pPr>
              <w:pStyle w:val="Title"/>
              <w:rPr>
                <w:rFonts w:cs="Segoe UI Semilight"/>
                <w:color w:val="0070C0"/>
              </w:rPr>
            </w:pPr>
            <w:r w:rsidRPr="000A4EC1">
              <w:rPr>
                <w:rFonts w:eastAsiaTheme="minorEastAsia" w:cs="Segoe UI Semilight"/>
                <w:caps w:val="0"/>
                <w:color w:val="0070C0"/>
                <w:spacing w:val="0"/>
                <w:sz w:val="22"/>
                <w:szCs w:val="22"/>
              </w:rPr>
              <w:t>I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937DF" w:rsidRPr="000A4EC1" w:rsidRDefault="00D937DF" w:rsidP="00244DE6">
            <w:pPr>
              <w:pStyle w:val="Title"/>
              <w:rPr>
                <w:rFonts w:eastAsiaTheme="minorEastAsia" w:cs="Segoe UI Semilight"/>
                <w:caps w:val="0"/>
                <w:color w:val="0070C0"/>
                <w:spacing w:val="0"/>
                <w:sz w:val="22"/>
                <w:szCs w:val="22"/>
              </w:rPr>
            </w:pPr>
            <w:r w:rsidRPr="000A4EC1">
              <w:rPr>
                <w:rFonts w:eastAsiaTheme="minorEastAsia" w:cs="Segoe UI Semilight"/>
                <w:caps w:val="0"/>
                <w:color w:val="0070C0"/>
                <w:spacing w:val="0"/>
                <w:sz w:val="22"/>
                <w:szCs w:val="22"/>
              </w:rPr>
              <w:t>PLANNING: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937DF" w:rsidRDefault="00D937DF" w:rsidP="00401A8F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937DF" w:rsidRDefault="00D937DF" w:rsidP="00401A8F"/>
        </w:tc>
      </w:tr>
      <w:tr w:rsidR="00D937DF" w:rsidTr="009E2ED6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t>1.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Business Process Owner sign-off with plan &amp; timeline for changeover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COE Director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/>
        </w:tc>
      </w:tr>
      <w:tr w:rsidR="00D937DF" w:rsidTr="009E2ED6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t>2.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 xml:space="preserve">Business expectations setting: Understand business related expectations for performance, availability, criticality, etc.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COE Director</w:t>
            </w:r>
          </w:p>
          <w:p w:rsidR="00D937DF" w:rsidRDefault="00D937DF" w:rsidP="00401A8F">
            <w:r>
              <w:t>Business Process Owner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t>Available planning documents per process or program</w:t>
            </w:r>
          </w:p>
        </w:tc>
      </w:tr>
      <w:tr w:rsidR="00D937DF" w:rsidTr="009E2ED6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t>3.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 xml:space="preserve">Administration of product, services vendor relationships: decide how this will be managed in future for continuity or closure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COE Director</w:t>
            </w:r>
          </w:p>
          <w:p w:rsidR="00D937DF" w:rsidRDefault="00D937DF" w:rsidP="00401A8F">
            <w:r>
              <w:t>Business Head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t>Contractual documents/agreements</w:t>
            </w:r>
          </w:p>
        </w:tc>
      </w:tr>
      <w:tr w:rsidR="00D937DF" w:rsidTr="009E2ED6">
        <w:trPr>
          <w:trHeight w:val="511"/>
        </w:trPr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937DF" w:rsidRDefault="00244DE6" w:rsidP="000A4EC1">
            <w:pPr>
              <w:pStyle w:val="Title"/>
            </w:pPr>
            <w:r w:rsidRPr="000A4EC1">
              <w:rPr>
                <w:rFonts w:eastAsiaTheme="minorEastAsia" w:cs="Segoe UI Semilight"/>
                <w:caps w:val="0"/>
                <w:color w:val="0070C0"/>
                <w:spacing w:val="0"/>
                <w:sz w:val="22"/>
                <w:szCs w:val="22"/>
              </w:rPr>
              <w:t>II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937DF" w:rsidRPr="007C401E" w:rsidRDefault="00D937DF" w:rsidP="00401A8F">
            <w:r w:rsidRPr="007C401E">
              <w:rPr>
                <w:rFonts w:asciiTheme="majorHAnsi" w:hAnsiTheme="majorHAnsi"/>
                <w:color w:val="0070C0"/>
              </w:rPr>
              <w:t>PROCESS &amp; SOLUTION UNDERSTANDING: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/>
        </w:tc>
      </w:tr>
      <w:tr w:rsidR="00D937DF" w:rsidTr="009E2ED6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t>4.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Process Understanding &amp; Automation Objectives: Detailed description and mapping of process (if unavailable), Performance of current solution with data and outcomes, Any challenges and future plans.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COE Staff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As Is Process Documentation;</w:t>
            </w:r>
          </w:p>
          <w:p w:rsidR="00D937DF" w:rsidRDefault="00D937DF" w:rsidP="00401A8F">
            <w:r>
              <w:t>Process Business Results, Business Case documentation</w:t>
            </w:r>
          </w:p>
        </w:tc>
      </w:tr>
      <w:tr w:rsidR="00D937DF" w:rsidTr="009E2ED6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t>5.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 xml:space="preserve">Technical Solution Understanding: Detailed </w:t>
            </w:r>
            <w:r>
              <w:lastRenderedPageBreak/>
              <w:t xml:space="preserve">walkthrough on technical solution design, code, considerations, etc.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lastRenderedPageBreak/>
              <w:t xml:space="preserve">COE Staff &amp; </w:t>
            </w:r>
            <w:r>
              <w:lastRenderedPageBreak/>
              <w:t>Application Owner</w:t>
            </w:r>
          </w:p>
          <w:p w:rsidR="00D937DF" w:rsidRDefault="00D937DF" w:rsidP="00401A8F">
            <w:r>
              <w:t>Current Development &amp; Support Team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lastRenderedPageBreak/>
              <w:t xml:space="preserve">Technical Solution </w:t>
            </w:r>
            <w:r>
              <w:lastRenderedPageBreak/>
              <w:t>Documentation</w:t>
            </w:r>
          </w:p>
        </w:tc>
      </w:tr>
      <w:tr w:rsidR="00D937DF" w:rsidTr="009E2ED6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lastRenderedPageBreak/>
              <w:t>6.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Automation Code &amp; Artifacts: Current development &amp; support team hands over code, scripts, artifacts, etc. to COE Scrum Team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Current Development &amp; Support Team</w:t>
            </w:r>
          </w:p>
          <w:p w:rsidR="00D937DF" w:rsidRDefault="00D937DF" w:rsidP="00401A8F">
            <w:r>
              <w:t>COE Scrum Team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t>Automation Scripts, Code location &amp; copies</w:t>
            </w:r>
          </w:p>
        </w:tc>
      </w:tr>
      <w:tr w:rsidR="00D937DF" w:rsidTr="009E2ED6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t>7.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Location &amp; availability of process &amp; transactional data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Current Development &amp; Support Team</w:t>
            </w:r>
          </w:p>
          <w:p w:rsidR="00D937DF" w:rsidRDefault="00D937DF" w:rsidP="00401A8F">
            <w:r>
              <w:t>COE Scrum Team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t>Process transactional and reporting data</w:t>
            </w:r>
          </w:p>
        </w:tc>
      </w:tr>
      <w:tr w:rsidR="00D937DF" w:rsidTr="009E2ED6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t>8.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Bot IDs</w:t>
            </w:r>
            <w:r w:rsidR="009E2ED6">
              <w:t xml:space="preserve"> availability</w:t>
            </w:r>
            <w:r w:rsidR="00AF0E8E">
              <w:t xml:space="preserve"> and management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COE Staff Business Process Owner Current Development &amp; Support Team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t>Bot IDs and related documentation</w:t>
            </w:r>
          </w:p>
        </w:tc>
      </w:tr>
      <w:tr w:rsidR="00D937DF" w:rsidTr="009E2ED6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t>9.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Walkthrough of each automated process by current development &amp; support team including environment, technology, etc.</w:t>
            </w:r>
          </w:p>
          <w:p w:rsidR="00D937DF" w:rsidRDefault="00D937DF" w:rsidP="00401A8F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COE Staff</w:t>
            </w:r>
          </w:p>
          <w:p w:rsidR="00D937DF" w:rsidRDefault="00D937DF" w:rsidP="00401A8F">
            <w:r>
              <w:t>Current dev &amp; support team</w:t>
            </w:r>
          </w:p>
          <w:p w:rsidR="00D937DF" w:rsidRDefault="00D937DF" w:rsidP="00401A8F">
            <w:r>
              <w:t>COE Scrum Team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t>Listing of all processes</w:t>
            </w:r>
          </w:p>
          <w:p w:rsidR="0083197E" w:rsidRDefault="0083197E" w:rsidP="0083197E">
            <w:r>
              <w:t>Documentation of each process &amp; business expectations; Solution Design, Functional Design documents</w:t>
            </w:r>
          </w:p>
        </w:tc>
      </w:tr>
      <w:tr w:rsidR="00D937DF" w:rsidTr="009E2ED6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t>10.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Whether failover plan in place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Process SME</w:t>
            </w:r>
          </w:p>
          <w:p w:rsidR="00D937DF" w:rsidRDefault="00D937DF" w:rsidP="00401A8F">
            <w:r>
              <w:t>Current dev &amp; support team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t xml:space="preserve">Failover plan, or manual process with contacts </w:t>
            </w:r>
          </w:p>
        </w:tc>
      </w:tr>
      <w:tr w:rsidR="00D937DF" w:rsidTr="009E2ED6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t>11.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Handover &amp;/or Preparation of Process Knowledge Base for L1-L3 Support Teams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COE Staff</w:t>
            </w:r>
          </w:p>
          <w:p w:rsidR="00D937DF" w:rsidRDefault="00D937DF" w:rsidP="00401A8F">
            <w:r>
              <w:t>Current Development &amp; Support Team</w:t>
            </w:r>
          </w:p>
          <w:p w:rsidR="00D937DF" w:rsidRDefault="00D937DF" w:rsidP="00401A8F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 xml:space="preserve">In standard support format as per </w:t>
            </w:r>
            <w:r w:rsidR="00376320">
              <w:t>&lt;Company&gt;</w:t>
            </w:r>
            <w:r>
              <w:t xml:space="preserve"> Support standards and procedures</w:t>
            </w:r>
          </w:p>
        </w:tc>
      </w:tr>
      <w:tr w:rsidR="00D937DF" w:rsidTr="009E2ED6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062DD0" w:rsidP="00401A8F">
            <w:r>
              <w:t>12.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Support incidents logs: handover of support incidents trails to Support &amp; COE Team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Business Process Owner</w:t>
            </w:r>
          </w:p>
          <w:p w:rsidR="00D937DF" w:rsidRDefault="00D937DF" w:rsidP="00401A8F">
            <w:r>
              <w:t>Current Development &amp; Support Team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Incident logs, communication trails</w:t>
            </w:r>
          </w:p>
        </w:tc>
      </w:tr>
      <w:tr w:rsidR="00D937DF" w:rsidTr="00E67AAA">
        <w:trPr>
          <w:trHeight w:val="539"/>
        </w:trPr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937DF" w:rsidRDefault="00E67AAA" w:rsidP="00401A8F">
            <w:r w:rsidRPr="000A4EC1">
              <w:rPr>
                <w:rFonts w:asciiTheme="majorHAnsi" w:hAnsiTheme="majorHAnsi" w:cs="Segoe UI Semilight"/>
                <w:caps/>
                <w:color w:val="0070C0"/>
              </w:rPr>
              <w:t>II</w:t>
            </w:r>
            <w:r>
              <w:rPr>
                <w:rFonts w:asciiTheme="majorHAnsi" w:hAnsiTheme="majorHAnsi" w:cs="Segoe UI Semilight"/>
                <w:caps/>
                <w:color w:val="0070C0"/>
              </w:rPr>
              <w:t>I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937DF" w:rsidRDefault="00D937DF" w:rsidP="00401A8F">
            <w:r w:rsidRPr="003819CA">
              <w:rPr>
                <w:rFonts w:asciiTheme="majorHAnsi" w:hAnsiTheme="majorHAnsi"/>
                <w:color w:val="0070C0"/>
              </w:rPr>
              <w:t>MIGRATION</w:t>
            </w:r>
            <w:r>
              <w:rPr>
                <w:rFonts w:asciiTheme="majorHAnsi" w:hAnsiTheme="majorHAnsi"/>
                <w:color w:val="0070C0"/>
              </w:rPr>
              <w:t xml:space="preserve"> ACTION-</w:t>
            </w:r>
            <w:r w:rsidRPr="003819CA">
              <w:rPr>
                <w:rFonts w:asciiTheme="majorHAnsi" w:hAnsiTheme="majorHAnsi"/>
                <w:color w:val="0070C0"/>
              </w:rPr>
              <w:t>PLAN: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/>
        </w:tc>
      </w:tr>
      <w:tr w:rsidR="00D937DF" w:rsidTr="00E67AAA"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37DF" w:rsidRDefault="00062DD0" w:rsidP="00401A8F">
            <w:r>
              <w:t>13.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37DF" w:rsidRDefault="00D937DF" w:rsidP="00401A8F">
            <w:r>
              <w:t>Whether automated process will be migrated ‘As Is’ or is Re-development required?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37DF" w:rsidRDefault="00D937DF" w:rsidP="00401A8F">
            <w:r>
              <w:t xml:space="preserve">COE Director </w:t>
            </w:r>
          </w:p>
          <w:p w:rsidR="00D937DF" w:rsidRDefault="00D937DF" w:rsidP="00401A8F">
            <w:r>
              <w:t>Business Process Owner Application Owner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37DF" w:rsidRDefault="0083197E" w:rsidP="00401A8F">
            <w:r>
              <w:t>To Be solution design: Functional &amp; Technical with Gap/Work-items</w:t>
            </w:r>
          </w:p>
        </w:tc>
      </w:tr>
      <w:tr w:rsidR="00D937DF" w:rsidTr="00E67AAA"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7DF" w:rsidRDefault="00062DD0" w:rsidP="00401A8F">
            <w:r>
              <w:t>14.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Whether solution to be hosted in existing technology &amp; environment or to be re-developed in COE standard technology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 xml:space="preserve">COE Director </w:t>
            </w:r>
          </w:p>
          <w:p w:rsidR="00D937DF" w:rsidRDefault="00D937DF" w:rsidP="00401A8F">
            <w:r>
              <w:t xml:space="preserve">Business Process Owner </w:t>
            </w:r>
            <w:r>
              <w:lastRenderedPageBreak/>
              <w:t>Application Owner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7DF" w:rsidRDefault="0083197E" w:rsidP="0083197E">
            <w:r>
              <w:lastRenderedPageBreak/>
              <w:t>To Be solution design: Functional &amp; Technical with Gap/Work-items</w:t>
            </w:r>
          </w:p>
        </w:tc>
      </w:tr>
      <w:tr w:rsidR="00D937DF" w:rsidTr="00E67AAA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062DD0" w:rsidP="00401A8F">
            <w:r>
              <w:lastRenderedPageBreak/>
              <w:t>15.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Plan to complete any gaps in process or solution documentation, support, etc.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COE Staff</w:t>
            </w:r>
          </w:p>
          <w:p w:rsidR="00D937DF" w:rsidRDefault="00D937DF" w:rsidP="00401A8F">
            <w:r>
              <w:t>COE Scrum Team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t>Project Backlog – Azure DevOps; documented if required</w:t>
            </w:r>
          </w:p>
        </w:tc>
      </w:tr>
      <w:tr w:rsidR="00D937DF" w:rsidTr="00E67AAA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062DD0" w:rsidP="00401A8F">
            <w:r>
              <w:t>16.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062DD0" w:rsidP="00401A8F">
            <w:r>
              <w:t>‘</w:t>
            </w:r>
            <w:r w:rsidR="00D937DF">
              <w:t xml:space="preserve">To Be </w:t>
            </w:r>
            <w:r>
              <w:t xml:space="preserve">Process’ </w:t>
            </w:r>
            <w:r w:rsidR="00D937DF">
              <w:t xml:space="preserve">Plan:  </w:t>
            </w:r>
          </w:p>
          <w:p w:rsidR="00D937DF" w:rsidRDefault="00D937DF" w:rsidP="00401A8F">
            <w:r>
              <w:t>Prepare and communicate migration plan with business impact, cut-over dates, rollback plan, technical solution &amp; data migration, support process, etc .. Clarify approach and production process to Business Process Owner, Process SME, other relevant stakeholders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COE Staff</w:t>
            </w:r>
          </w:p>
          <w:p w:rsidR="00D937DF" w:rsidRDefault="00D937DF" w:rsidP="00401A8F">
            <w:r>
              <w:t>COE Scrum Team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83197E" w:rsidP="00401A8F">
            <w:r>
              <w:t>Project plan</w:t>
            </w:r>
          </w:p>
        </w:tc>
      </w:tr>
      <w:tr w:rsidR="00D937DF" w:rsidTr="00E67AAA">
        <w:trPr>
          <w:trHeight w:val="644"/>
        </w:trPr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937DF" w:rsidRDefault="00E67AAA" w:rsidP="00401A8F">
            <w:r w:rsidRPr="00E67AAA">
              <w:rPr>
                <w:rFonts w:asciiTheme="majorHAnsi" w:hAnsiTheme="majorHAnsi"/>
                <w:color w:val="0070C0"/>
              </w:rPr>
              <w:t>IV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937DF" w:rsidRPr="003819CA" w:rsidRDefault="00D937DF" w:rsidP="00401A8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070C0"/>
              </w:rPr>
              <w:t xml:space="preserve">SOLUTION </w:t>
            </w:r>
            <w:r w:rsidRPr="003819CA">
              <w:rPr>
                <w:rFonts w:asciiTheme="majorHAnsi" w:hAnsiTheme="majorHAnsi"/>
                <w:color w:val="0070C0"/>
              </w:rPr>
              <w:t>MIGRATION: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/>
        </w:tc>
      </w:tr>
      <w:tr w:rsidR="00D937DF" w:rsidTr="00E67AAA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062DD0" w:rsidP="00401A8F">
            <w:r>
              <w:t>17.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Migrate (or Re-Develop) Process to Test Environment managed by IA COE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CoE Staff</w:t>
            </w:r>
          </w:p>
          <w:p w:rsidR="00D937DF" w:rsidRDefault="00D937DF" w:rsidP="00401A8F">
            <w:r>
              <w:t>COE Scrum Team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3E313C" w:rsidP="00401A8F">
            <w:r>
              <w:t>Project Backlog Tasks -Azure DevOps</w:t>
            </w:r>
            <w:r w:rsidR="00D937DF">
              <w:t>As part of Bot Development Process (Scrum)</w:t>
            </w:r>
          </w:p>
        </w:tc>
      </w:tr>
      <w:tr w:rsidR="00D937DF" w:rsidTr="00E67AAA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062DD0" w:rsidP="00401A8F">
            <w:r>
              <w:t>18.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Test &amp; Validate with Process SME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COE Staff</w:t>
            </w:r>
          </w:p>
          <w:p w:rsidR="00D937DF" w:rsidRDefault="00D937DF" w:rsidP="00401A8F">
            <w:r>
              <w:t>Process SME</w:t>
            </w:r>
          </w:p>
          <w:p w:rsidR="00D937DF" w:rsidRDefault="00D937DF" w:rsidP="00401A8F">
            <w:r>
              <w:t>COE Scrum Team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/>
        </w:tc>
      </w:tr>
      <w:tr w:rsidR="00D937DF" w:rsidTr="00E67AAA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062DD0" w:rsidP="00401A8F">
            <w:r>
              <w:t>19.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Advise Business Process Owner for go-ahead to moving to Production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COE Director</w:t>
            </w:r>
          </w:p>
          <w:p w:rsidR="00D937DF" w:rsidRDefault="00D937DF" w:rsidP="00401A8F">
            <w:r>
              <w:t>Process SME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/>
        </w:tc>
      </w:tr>
      <w:tr w:rsidR="00D937DF" w:rsidTr="00E67AAA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062DD0" w:rsidP="00401A8F">
            <w:r>
              <w:t>20.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Conduct Q&amp;A and Training session (if required) for Business Team, Support, other required teams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COE Staff</w:t>
            </w:r>
          </w:p>
          <w:p w:rsidR="00D937DF" w:rsidRDefault="00D937DF" w:rsidP="00401A8F">
            <w:r>
              <w:t>Process SME</w:t>
            </w:r>
          </w:p>
          <w:p w:rsidR="00D937DF" w:rsidRDefault="00D937DF" w:rsidP="00401A8F">
            <w:r>
              <w:t>Support</w:t>
            </w:r>
          </w:p>
          <w:p w:rsidR="00D937DF" w:rsidRDefault="00D937DF" w:rsidP="00401A8F">
            <w:r>
              <w:t>COE Scrum Team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/>
        </w:tc>
      </w:tr>
      <w:tr w:rsidR="00D937DF" w:rsidTr="00E67AAA"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062DD0" w:rsidP="00401A8F">
            <w:r>
              <w:t>21.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Go-Live &amp; Stabilization of Automated Process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>
            <w:r>
              <w:t>COE Staff</w:t>
            </w:r>
          </w:p>
          <w:p w:rsidR="00D937DF" w:rsidRDefault="00D937DF" w:rsidP="00401A8F">
            <w:r>
              <w:t>Process SME</w:t>
            </w:r>
          </w:p>
          <w:p w:rsidR="00D937DF" w:rsidRDefault="00D937DF" w:rsidP="00401A8F">
            <w:r>
              <w:t>Scrum Team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37DF" w:rsidRDefault="00D937DF" w:rsidP="00401A8F"/>
        </w:tc>
      </w:tr>
    </w:tbl>
    <w:p w:rsidR="00D937DF" w:rsidRDefault="00D937DF" w:rsidP="00D937DF"/>
    <w:p w:rsidR="00D937DF" w:rsidRPr="002F211C" w:rsidRDefault="00D937DF" w:rsidP="00F34ECF"/>
    <w:sectPr w:rsidR="00D937DF" w:rsidRPr="002F211C" w:rsidSect="00900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B25" w:rsidRDefault="008B7B25" w:rsidP="00A26419">
      <w:pPr>
        <w:spacing w:after="0" w:line="240" w:lineRule="auto"/>
      </w:pPr>
      <w:r>
        <w:separator/>
      </w:r>
    </w:p>
  </w:endnote>
  <w:endnote w:type="continuationSeparator" w:id="1">
    <w:p w:rsidR="008B7B25" w:rsidRDefault="008B7B25" w:rsidP="00A26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25442785"/>
      <w:docPartObj>
        <w:docPartGallery w:val="Page Numbers (Bottom of Page)"/>
        <w:docPartUnique/>
      </w:docPartObj>
    </w:sdtPr>
    <w:sdtContent>
      <w:p w:rsidR="00A26419" w:rsidRDefault="00A87578" w:rsidP="00A26419">
        <w:pPr>
          <w:pStyle w:val="Footer"/>
          <w:pBdr>
            <w:top w:val="thinThickSmallGap" w:sz="18" w:space="1" w:color="auto"/>
          </w:pBdr>
          <w:jc w:val="center"/>
        </w:pPr>
        <w:r w:rsidRPr="00A87578">
          <w:rPr>
            <w:rFonts w:asciiTheme="majorHAnsi" w:eastAsiaTheme="majorEastAsia" w:hAnsiTheme="majorHAnsi" w:cstheme="majorBidi"/>
            <w:noProof/>
            <w:sz w:val="28"/>
            <w:szCs w:val="28"/>
            <w:lang w:eastAsia="en-IN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lowchart: Alternate Process 1" o:spid="_x0000_s4097" type="#_x0000_t176" style="position:absolute;left:0;text-align:left;margin-left:-244.5pt;margin-top:20.85pt;width:40.35pt;height:34.75pt;z-index:251659264;visibility:visible;mso-position-horizontal-relative:right-margin-area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" filled="f" fillcolor="#5c83b4" stroked="f" strokecolor="#737373">
              <v:textbox>
                <w:txbxContent>
                  <w:p w:rsidR="00A26419" w:rsidRDefault="00A87578" w:rsidP="001658C4">
                    <w:pPr>
                      <w:pStyle w:val="Footer"/>
                      <w:jc w:val="center"/>
                      <w:rPr>
                        <w:sz w:val="28"/>
                        <w:szCs w:val="28"/>
                      </w:rPr>
                    </w:pPr>
                    <w:r w:rsidRPr="00A87578">
                      <w:fldChar w:fldCharType="begin"/>
                    </w:r>
                    <w:r w:rsidR="00A26419">
                      <w:instrText xml:space="preserve"> PAGE    \* MERGEFORMAT </w:instrText>
                    </w:r>
                    <w:r w:rsidRPr="00A87578">
                      <w:fldChar w:fldCharType="separate"/>
                    </w:r>
                    <w:r w:rsidR="00376320" w:rsidRPr="00376320">
                      <w:rPr>
                        <w:noProof/>
                        <w:sz w:val="28"/>
                        <w:szCs w:val="28"/>
                      </w:rPr>
                      <w:t>5</w:t>
                    </w:r>
                    <w:r>
                      <w:rPr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B25" w:rsidRDefault="008B7B25" w:rsidP="00A26419">
      <w:pPr>
        <w:spacing w:after="0" w:line="240" w:lineRule="auto"/>
      </w:pPr>
      <w:r>
        <w:separator/>
      </w:r>
    </w:p>
  </w:footnote>
  <w:footnote w:type="continuationSeparator" w:id="1">
    <w:p w:rsidR="008B7B25" w:rsidRDefault="008B7B25" w:rsidP="00A26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76895"/>
    <w:multiLevelType w:val="hybridMultilevel"/>
    <w:tmpl w:val="E82A5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05141"/>
    <w:multiLevelType w:val="multilevel"/>
    <w:tmpl w:val="F616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FB35FD"/>
    <w:multiLevelType w:val="multilevel"/>
    <w:tmpl w:val="C24E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EC3699"/>
    <w:multiLevelType w:val="hybridMultilevel"/>
    <w:tmpl w:val="E82A5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71A4F"/>
    <w:multiLevelType w:val="multilevel"/>
    <w:tmpl w:val="F59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2634F1"/>
    <w:multiLevelType w:val="multilevel"/>
    <w:tmpl w:val="A40C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D17E16"/>
    <w:multiLevelType w:val="hybridMultilevel"/>
    <w:tmpl w:val="AC745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F574A"/>
    <w:multiLevelType w:val="multilevel"/>
    <w:tmpl w:val="DA50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C2A13AE"/>
    <w:multiLevelType w:val="hybridMultilevel"/>
    <w:tmpl w:val="70167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155534"/>
    <w:multiLevelType w:val="multilevel"/>
    <w:tmpl w:val="DA7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8E6FDC"/>
    <w:multiLevelType w:val="hybridMultilevel"/>
    <w:tmpl w:val="33464D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3A5C15"/>
    <w:multiLevelType w:val="hybridMultilevel"/>
    <w:tmpl w:val="BB44C780"/>
    <w:lvl w:ilvl="0" w:tplc="F3407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8E7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00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6C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0A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AC1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1C1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EC1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BC2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E640DFC"/>
    <w:multiLevelType w:val="hybridMultilevel"/>
    <w:tmpl w:val="12AA67BA"/>
    <w:lvl w:ilvl="0" w:tplc="388264D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356362"/>
    <w:multiLevelType w:val="multilevel"/>
    <w:tmpl w:val="D4B2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5264990"/>
    <w:multiLevelType w:val="hybridMultilevel"/>
    <w:tmpl w:val="AC64F9AC"/>
    <w:lvl w:ilvl="0" w:tplc="EA64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E43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9A6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628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07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4A7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BC2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CE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829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5985DB0"/>
    <w:multiLevelType w:val="hybridMultilevel"/>
    <w:tmpl w:val="080E6CEA"/>
    <w:lvl w:ilvl="0" w:tplc="A4A24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148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89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66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C2C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D4A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8C1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161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640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71B7478"/>
    <w:multiLevelType w:val="multilevel"/>
    <w:tmpl w:val="E3B6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426698"/>
    <w:multiLevelType w:val="multilevel"/>
    <w:tmpl w:val="3C00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E08302D"/>
    <w:multiLevelType w:val="multilevel"/>
    <w:tmpl w:val="E030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9313949"/>
    <w:multiLevelType w:val="hybridMultilevel"/>
    <w:tmpl w:val="D0584F3A"/>
    <w:lvl w:ilvl="0" w:tplc="D1263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AC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909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66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01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903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CAE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0A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9C6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71247E0"/>
    <w:multiLevelType w:val="multilevel"/>
    <w:tmpl w:val="4BA0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E01439B"/>
    <w:multiLevelType w:val="hybridMultilevel"/>
    <w:tmpl w:val="C3C86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445222"/>
    <w:multiLevelType w:val="hybridMultilevel"/>
    <w:tmpl w:val="715075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F0D636F"/>
    <w:multiLevelType w:val="multilevel"/>
    <w:tmpl w:val="CA66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9"/>
  </w:num>
  <w:num w:numId="3">
    <w:abstractNumId w:val="10"/>
  </w:num>
  <w:num w:numId="4">
    <w:abstractNumId w:val="14"/>
  </w:num>
  <w:num w:numId="5">
    <w:abstractNumId w:val="15"/>
  </w:num>
  <w:num w:numId="6">
    <w:abstractNumId w:val="22"/>
  </w:num>
  <w:num w:numId="7">
    <w:abstractNumId w:val="8"/>
  </w:num>
  <w:num w:numId="8">
    <w:abstractNumId w:val="6"/>
  </w:num>
  <w:num w:numId="9">
    <w:abstractNumId w:val="21"/>
  </w:num>
  <w:num w:numId="10">
    <w:abstractNumId w:val="9"/>
  </w:num>
  <w:num w:numId="11">
    <w:abstractNumId w:val="5"/>
  </w:num>
  <w:num w:numId="12">
    <w:abstractNumId w:val="17"/>
  </w:num>
  <w:num w:numId="13">
    <w:abstractNumId w:val="18"/>
  </w:num>
  <w:num w:numId="14">
    <w:abstractNumId w:val="2"/>
  </w:num>
  <w:num w:numId="15">
    <w:abstractNumId w:val="1"/>
  </w:num>
  <w:num w:numId="16">
    <w:abstractNumId w:val="20"/>
  </w:num>
  <w:num w:numId="17">
    <w:abstractNumId w:val="16"/>
  </w:num>
  <w:num w:numId="18">
    <w:abstractNumId w:val="13"/>
  </w:num>
  <w:num w:numId="19">
    <w:abstractNumId w:val="7"/>
  </w:num>
  <w:num w:numId="20">
    <w:abstractNumId w:val="3"/>
  </w:num>
  <w:num w:numId="21">
    <w:abstractNumId w:val="12"/>
  </w:num>
  <w:num w:numId="22">
    <w:abstractNumId w:val="0"/>
  </w:num>
  <w:num w:numId="23">
    <w:abstractNumId w:val="23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34B46"/>
    <w:rsid w:val="00002629"/>
    <w:rsid w:val="00006CA2"/>
    <w:rsid w:val="00013D57"/>
    <w:rsid w:val="00031B00"/>
    <w:rsid w:val="00032F63"/>
    <w:rsid w:val="00043888"/>
    <w:rsid w:val="00061A34"/>
    <w:rsid w:val="00062DD0"/>
    <w:rsid w:val="000652C8"/>
    <w:rsid w:val="00072AC6"/>
    <w:rsid w:val="00073EE1"/>
    <w:rsid w:val="000A2C87"/>
    <w:rsid w:val="000A4EC1"/>
    <w:rsid w:val="000C0682"/>
    <w:rsid w:val="000C3379"/>
    <w:rsid w:val="000E5312"/>
    <w:rsid w:val="001074EB"/>
    <w:rsid w:val="001120D5"/>
    <w:rsid w:val="00132E67"/>
    <w:rsid w:val="00156D6B"/>
    <w:rsid w:val="00160DDF"/>
    <w:rsid w:val="0016239C"/>
    <w:rsid w:val="001658C4"/>
    <w:rsid w:val="001672D8"/>
    <w:rsid w:val="0018399E"/>
    <w:rsid w:val="001C0644"/>
    <w:rsid w:val="001C55EE"/>
    <w:rsid w:val="001C69AB"/>
    <w:rsid w:val="001D3C95"/>
    <w:rsid w:val="001E0C63"/>
    <w:rsid w:val="00210178"/>
    <w:rsid w:val="0022527D"/>
    <w:rsid w:val="00244DE6"/>
    <w:rsid w:val="00261C54"/>
    <w:rsid w:val="00272821"/>
    <w:rsid w:val="00274FCA"/>
    <w:rsid w:val="0027664C"/>
    <w:rsid w:val="002918A0"/>
    <w:rsid w:val="00293685"/>
    <w:rsid w:val="00296E6A"/>
    <w:rsid w:val="002C4D47"/>
    <w:rsid w:val="002F211C"/>
    <w:rsid w:val="0030247E"/>
    <w:rsid w:val="00303F1A"/>
    <w:rsid w:val="003228CB"/>
    <w:rsid w:val="003252F2"/>
    <w:rsid w:val="003301F9"/>
    <w:rsid w:val="00337253"/>
    <w:rsid w:val="00347DA7"/>
    <w:rsid w:val="0037114F"/>
    <w:rsid w:val="003718DE"/>
    <w:rsid w:val="00372860"/>
    <w:rsid w:val="00372B86"/>
    <w:rsid w:val="00376320"/>
    <w:rsid w:val="00383B5D"/>
    <w:rsid w:val="00384296"/>
    <w:rsid w:val="00387C24"/>
    <w:rsid w:val="003A7A76"/>
    <w:rsid w:val="003B6B8E"/>
    <w:rsid w:val="003D4113"/>
    <w:rsid w:val="003E313C"/>
    <w:rsid w:val="003E7EA8"/>
    <w:rsid w:val="0041544E"/>
    <w:rsid w:val="00420394"/>
    <w:rsid w:val="004209E2"/>
    <w:rsid w:val="00422434"/>
    <w:rsid w:val="004576AA"/>
    <w:rsid w:val="00463CF7"/>
    <w:rsid w:val="004643D6"/>
    <w:rsid w:val="004A2468"/>
    <w:rsid w:val="004A5C14"/>
    <w:rsid w:val="004D01B3"/>
    <w:rsid w:val="004D52B2"/>
    <w:rsid w:val="004E0544"/>
    <w:rsid w:val="004E1B94"/>
    <w:rsid w:val="004E399A"/>
    <w:rsid w:val="004E60F4"/>
    <w:rsid w:val="004F0DE7"/>
    <w:rsid w:val="004F5CDD"/>
    <w:rsid w:val="004F7CCE"/>
    <w:rsid w:val="00524DDB"/>
    <w:rsid w:val="0054128C"/>
    <w:rsid w:val="00565EF9"/>
    <w:rsid w:val="005708D3"/>
    <w:rsid w:val="00585FA9"/>
    <w:rsid w:val="0059751E"/>
    <w:rsid w:val="005A084C"/>
    <w:rsid w:val="005A2F46"/>
    <w:rsid w:val="005B0374"/>
    <w:rsid w:val="005D3A14"/>
    <w:rsid w:val="005F000F"/>
    <w:rsid w:val="005F23DD"/>
    <w:rsid w:val="006032F5"/>
    <w:rsid w:val="00615F5C"/>
    <w:rsid w:val="006215C2"/>
    <w:rsid w:val="00634B46"/>
    <w:rsid w:val="0066536D"/>
    <w:rsid w:val="006842C2"/>
    <w:rsid w:val="00685E73"/>
    <w:rsid w:val="006E2B95"/>
    <w:rsid w:val="006E6575"/>
    <w:rsid w:val="006F318E"/>
    <w:rsid w:val="006F3501"/>
    <w:rsid w:val="006F4EF4"/>
    <w:rsid w:val="00736673"/>
    <w:rsid w:val="007372EB"/>
    <w:rsid w:val="00760492"/>
    <w:rsid w:val="00772C77"/>
    <w:rsid w:val="00794618"/>
    <w:rsid w:val="007A31FD"/>
    <w:rsid w:val="007C203D"/>
    <w:rsid w:val="007D03D7"/>
    <w:rsid w:val="007D056A"/>
    <w:rsid w:val="007E09A8"/>
    <w:rsid w:val="007F1398"/>
    <w:rsid w:val="0080386C"/>
    <w:rsid w:val="0081426F"/>
    <w:rsid w:val="0083197E"/>
    <w:rsid w:val="00834A3F"/>
    <w:rsid w:val="0084002D"/>
    <w:rsid w:val="00846E50"/>
    <w:rsid w:val="00853C85"/>
    <w:rsid w:val="008B4962"/>
    <w:rsid w:val="008B7B25"/>
    <w:rsid w:val="008C7353"/>
    <w:rsid w:val="008D35C4"/>
    <w:rsid w:val="008D3DA8"/>
    <w:rsid w:val="008E27CB"/>
    <w:rsid w:val="008F51D3"/>
    <w:rsid w:val="0090008A"/>
    <w:rsid w:val="009034B7"/>
    <w:rsid w:val="00905FD7"/>
    <w:rsid w:val="00906F21"/>
    <w:rsid w:val="00925D3E"/>
    <w:rsid w:val="00940DAB"/>
    <w:rsid w:val="00956D9C"/>
    <w:rsid w:val="0096410D"/>
    <w:rsid w:val="009862AE"/>
    <w:rsid w:val="009E09B5"/>
    <w:rsid w:val="009E2ED6"/>
    <w:rsid w:val="00A04573"/>
    <w:rsid w:val="00A06F35"/>
    <w:rsid w:val="00A26419"/>
    <w:rsid w:val="00A70915"/>
    <w:rsid w:val="00A77CC9"/>
    <w:rsid w:val="00A87578"/>
    <w:rsid w:val="00A9114D"/>
    <w:rsid w:val="00AF0E8E"/>
    <w:rsid w:val="00B05923"/>
    <w:rsid w:val="00B1431B"/>
    <w:rsid w:val="00B3548F"/>
    <w:rsid w:val="00B3595F"/>
    <w:rsid w:val="00B43DCC"/>
    <w:rsid w:val="00B93B81"/>
    <w:rsid w:val="00BA05D5"/>
    <w:rsid w:val="00BA7C74"/>
    <w:rsid w:val="00BB24BE"/>
    <w:rsid w:val="00BE29D9"/>
    <w:rsid w:val="00BF1CFC"/>
    <w:rsid w:val="00C01838"/>
    <w:rsid w:val="00C01B75"/>
    <w:rsid w:val="00C11399"/>
    <w:rsid w:val="00C26B22"/>
    <w:rsid w:val="00C342BA"/>
    <w:rsid w:val="00C36E59"/>
    <w:rsid w:val="00C671A0"/>
    <w:rsid w:val="00C74ACE"/>
    <w:rsid w:val="00C76461"/>
    <w:rsid w:val="00C93778"/>
    <w:rsid w:val="00CA1534"/>
    <w:rsid w:val="00CA55D6"/>
    <w:rsid w:val="00CA6BC6"/>
    <w:rsid w:val="00CC1731"/>
    <w:rsid w:val="00CC77CB"/>
    <w:rsid w:val="00CD636A"/>
    <w:rsid w:val="00D02DAF"/>
    <w:rsid w:val="00D3013E"/>
    <w:rsid w:val="00D32F7F"/>
    <w:rsid w:val="00D424A5"/>
    <w:rsid w:val="00D7008B"/>
    <w:rsid w:val="00D81D26"/>
    <w:rsid w:val="00D937DF"/>
    <w:rsid w:val="00DA2195"/>
    <w:rsid w:val="00DB7180"/>
    <w:rsid w:val="00DE6062"/>
    <w:rsid w:val="00E02586"/>
    <w:rsid w:val="00E07F56"/>
    <w:rsid w:val="00E12F23"/>
    <w:rsid w:val="00E1614C"/>
    <w:rsid w:val="00E2243D"/>
    <w:rsid w:val="00E37A95"/>
    <w:rsid w:val="00E54699"/>
    <w:rsid w:val="00E64557"/>
    <w:rsid w:val="00E67AAA"/>
    <w:rsid w:val="00E748C6"/>
    <w:rsid w:val="00E768DD"/>
    <w:rsid w:val="00E854AB"/>
    <w:rsid w:val="00E9495F"/>
    <w:rsid w:val="00E953A6"/>
    <w:rsid w:val="00EA0263"/>
    <w:rsid w:val="00EB30C9"/>
    <w:rsid w:val="00EE15A4"/>
    <w:rsid w:val="00EE2FA9"/>
    <w:rsid w:val="00EE54F0"/>
    <w:rsid w:val="00EE602D"/>
    <w:rsid w:val="00EF2769"/>
    <w:rsid w:val="00F13377"/>
    <w:rsid w:val="00F154CF"/>
    <w:rsid w:val="00F34ECF"/>
    <w:rsid w:val="00F62BAE"/>
    <w:rsid w:val="00F80DD1"/>
    <w:rsid w:val="00F931C9"/>
    <w:rsid w:val="00F97B19"/>
    <w:rsid w:val="00FA51BA"/>
    <w:rsid w:val="00FB0C07"/>
    <w:rsid w:val="00FB44E3"/>
    <w:rsid w:val="00FB7B25"/>
    <w:rsid w:val="00FC6010"/>
    <w:rsid w:val="00FE44D6"/>
    <w:rsid w:val="00FF3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14F"/>
  </w:style>
  <w:style w:type="paragraph" w:styleId="Heading1">
    <w:name w:val="heading 1"/>
    <w:basedOn w:val="Normal"/>
    <w:next w:val="Normal"/>
    <w:link w:val="Heading1Char"/>
    <w:uiPriority w:val="9"/>
    <w:qFormat/>
    <w:rsid w:val="0037114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14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1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1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1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1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1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1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1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14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711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114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14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14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14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14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14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14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114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7114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7114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1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14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7114F"/>
    <w:rPr>
      <w:b/>
      <w:bCs/>
    </w:rPr>
  </w:style>
  <w:style w:type="character" w:styleId="Emphasis">
    <w:name w:val="Emphasis"/>
    <w:basedOn w:val="DefaultParagraphFont"/>
    <w:uiPriority w:val="20"/>
    <w:qFormat/>
    <w:rsid w:val="0037114F"/>
    <w:rPr>
      <w:i/>
      <w:iCs/>
    </w:rPr>
  </w:style>
  <w:style w:type="paragraph" w:styleId="NoSpacing">
    <w:name w:val="No Spacing"/>
    <w:link w:val="NoSpacingChar"/>
    <w:uiPriority w:val="1"/>
    <w:qFormat/>
    <w:rsid w:val="003711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14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14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14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14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1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1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14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14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14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37114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3888"/>
  </w:style>
  <w:style w:type="paragraph" w:styleId="Header">
    <w:name w:val="header"/>
    <w:basedOn w:val="Normal"/>
    <w:link w:val="HeaderChar"/>
    <w:uiPriority w:val="99"/>
    <w:unhideWhenUsed/>
    <w:rsid w:val="00A26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419"/>
  </w:style>
  <w:style w:type="paragraph" w:styleId="Footer">
    <w:name w:val="footer"/>
    <w:basedOn w:val="Normal"/>
    <w:link w:val="FooterChar"/>
    <w:uiPriority w:val="99"/>
    <w:unhideWhenUsed/>
    <w:rsid w:val="00A26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419"/>
  </w:style>
  <w:style w:type="paragraph" w:styleId="TOC1">
    <w:name w:val="toc 1"/>
    <w:basedOn w:val="Normal"/>
    <w:next w:val="Normal"/>
    <w:autoRedefine/>
    <w:uiPriority w:val="39"/>
    <w:unhideWhenUsed/>
    <w:rsid w:val="003B6B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6B8E"/>
    <w:rPr>
      <w:color w:val="0563C1" w:themeColor="hyperlink"/>
      <w:u w:val="single"/>
    </w:rPr>
  </w:style>
  <w:style w:type="paragraph" w:customStyle="1" w:styleId="Default">
    <w:name w:val="Default"/>
    <w:rsid w:val="00B3595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1D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424A5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CA15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5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5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5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5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53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8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80DD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F2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uiPriority w:val="99"/>
    <w:rsid w:val="00002629"/>
    <w:pPr>
      <w:keepLines/>
      <w:widowControl w:val="0"/>
      <w:spacing w:after="24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4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8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8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C02C8-343A-44F1-978D-3107E68DC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 Sarangi</dc:creator>
  <cp:keywords/>
  <dc:description/>
  <cp:lastModifiedBy>mayank.patel</cp:lastModifiedBy>
  <cp:revision>97</cp:revision>
  <dcterms:created xsi:type="dcterms:W3CDTF">2018-10-20T14:13:00Z</dcterms:created>
  <dcterms:modified xsi:type="dcterms:W3CDTF">2019-01-01T07:18:00Z</dcterms:modified>
</cp:coreProperties>
</file>