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DF44FF" w:rsidP="00043888">
      <w:pPr>
        <w:jc w:val="center"/>
        <w:rPr>
          <w:sz w:val="32"/>
          <w:szCs w:val="32"/>
        </w:rPr>
      </w:pPr>
      <w:r>
        <w:rPr>
          <w:sz w:val="32"/>
          <w:szCs w:val="32"/>
        </w:rPr>
        <w:t>&lt;Company&gt;</w:t>
      </w:r>
      <w:r w:rsidR="00043888" w:rsidRPr="00043888">
        <w:rPr>
          <w:sz w:val="32"/>
          <w:szCs w:val="32"/>
        </w:rPr>
        <w:t xml:space="preserve"> System,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470BFE" w:rsidP="00043888">
      <w:pPr>
        <w:jc w:val="center"/>
        <w:rPr>
          <w:sz w:val="28"/>
          <w:szCs w:val="28"/>
        </w:rPr>
      </w:pPr>
      <w:r>
        <w:rPr>
          <w:sz w:val="28"/>
          <w:szCs w:val="28"/>
        </w:rPr>
        <w:t>Support Model</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6110D8" w:rsidP="0090008A">
      <w:pPr>
        <w:jc w:val="center"/>
        <w:sectPr w:rsidR="0090008A" w:rsidSect="007372E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w:t>
      </w:r>
      <w:r w:rsidR="00BA2FC6">
        <w:t>l</w:t>
      </w:r>
    </w:p>
    <w:p w:rsidR="006110D8" w:rsidRDefault="006110D8" w:rsidP="006110D8">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lastRenderedPageBreak/>
        <w:t>Versioning</w:t>
      </w:r>
    </w:p>
    <w:tbl>
      <w:tblPr>
        <w:tblpPr w:leftFromText="180" w:rightFromText="180" w:horzAnchor="margin" w:tblpY="1022"/>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0"/>
        <w:gridCol w:w="1559"/>
        <w:gridCol w:w="3827"/>
        <w:gridCol w:w="2694"/>
      </w:tblGrid>
      <w:tr w:rsidR="006110D8" w:rsidRPr="00155B02" w:rsidTr="00983649">
        <w:trPr>
          <w:trHeight w:val="694"/>
        </w:trPr>
        <w:tc>
          <w:tcPr>
            <w:tcW w:w="1410" w:type="dxa"/>
            <w:vAlign w:val="center"/>
          </w:tcPr>
          <w:p w:rsidR="006110D8" w:rsidRPr="00857B93" w:rsidRDefault="006110D8" w:rsidP="00983649">
            <w:pPr>
              <w:pStyle w:val="Tabletext"/>
              <w:jc w:val="center"/>
              <w:rPr>
                <w:rFonts w:asciiTheme="majorHAnsi" w:hAnsiTheme="majorHAnsi" w:cs="Arial"/>
              </w:rPr>
            </w:pPr>
            <w:r w:rsidRPr="00857B93">
              <w:rPr>
                <w:rFonts w:asciiTheme="majorHAnsi" w:hAnsiTheme="majorHAnsi" w:cs="Arial"/>
              </w:rPr>
              <w:t>Date</w:t>
            </w:r>
          </w:p>
        </w:tc>
        <w:tc>
          <w:tcPr>
            <w:tcW w:w="1559" w:type="dxa"/>
            <w:vAlign w:val="center"/>
          </w:tcPr>
          <w:p w:rsidR="006110D8" w:rsidRPr="00857B93" w:rsidRDefault="006110D8" w:rsidP="00983649">
            <w:pPr>
              <w:pStyle w:val="Tabletext"/>
              <w:jc w:val="center"/>
              <w:rPr>
                <w:rFonts w:asciiTheme="majorHAnsi" w:hAnsiTheme="majorHAnsi" w:cs="Arial"/>
              </w:rPr>
            </w:pPr>
            <w:r w:rsidRPr="00857B93">
              <w:rPr>
                <w:rFonts w:asciiTheme="majorHAnsi" w:hAnsiTheme="majorHAnsi" w:cs="Arial"/>
              </w:rPr>
              <w:t>Version</w:t>
            </w:r>
          </w:p>
        </w:tc>
        <w:tc>
          <w:tcPr>
            <w:tcW w:w="3827" w:type="dxa"/>
            <w:vAlign w:val="center"/>
          </w:tcPr>
          <w:p w:rsidR="006110D8" w:rsidRPr="00857B93" w:rsidRDefault="006110D8" w:rsidP="00983649">
            <w:pPr>
              <w:pStyle w:val="Tabletext"/>
              <w:jc w:val="center"/>
              <w:rPr>
                <w:rFonts w:asciiTheme="majorHAnsi" w:hAnsiTheme="majorHAnsi" w:cs="Arial"/>
              </w:rPr>
            </w:pPr>
            <w:r w:rsidRPr="00857B93">
              <w:rPr>
                <w:rFonts w:asciiTheme="majorHAnsi" w:hAnsiTheme="majorHAnsi" w:cs="Arial"/>
              </w:rPr>
              <w:t>Description</w:t>
            </w:r>
          </w:p>
        </w:tc>
        <w:tc>
          <w:tcPr>
            <w:tcW w:w="2694" w:type="dxa"/>
            <w:vAlign w:val="center"/>
          </w:tcPr>
          <w:p w:rsidR="006110D8" w:rsidRPr="00857B93" w:rsidRDefault="006110D8" w:rsidP="00983649">
            <w:pPr>
              <w:pStyle w:val="Tabletext"/>
              <w:jc w:val="center"/>
              <w:rPr>
                <w:rFonts w:asciiTheme="majorHAnsi" w:hAnsiTheme="majorHAnsi" w:cs="Arial"/>
              </w:rPr>
            </w:pPr>
            <w:r w:rsidRPr="00857B93">
              <w:rPr>
                <w:rFonts w:asciiTheme="majorHAnsi" w:hAnsiTheme="majorHAnsi" w:cs="Arial"/>
              </w:rPr>
              <w:t>Author</w:t>
            </w:r>
          </w:p>
        </w:tc>
      </w:tr>
      <w:tr w:rsidR="006110D8" w:rsidRPr="00155B02" w:rsidTr="00983649">
        <w:trPr>
          <w:trHeight w:val="371"/>
        </w:trPr>
        <w:tc>
          <w:tcPr>
            <w:tcW w:w="1410" w:type="dxa"/>
          </w:tcPr>
          <w:p w:rsidR="006110D8" w:rsidRPr="00BF7F58" w:rsidRDefault="006110D8" w:rsidP="006110D8">
            <w:pPr>
              <w:pStyle w:val="Tabletext"/>
              <w:spacing w:after="0" w:line="240" w:lineRule="auto"/>
              <w:rPr>
                <w:rFonts w:asciiTheme="minorHAnsi" w:hAnsiTheme="minorHAnsi" w:cs="Arial"/>
                <w:sz w:val="20"/>
              </w:rPr>
            </w:pPr>
            <w:r>
              <w:rPr>
                <w:rFonts w:asciiTheme="minorHAnsi" w:hAnsiTheme="minorHAnsi" w:cs="Arial"/>
                <w:sz w:val="20"/>
              </w:rPr>
              <w:t>15</w:t>
            </w:r>
            <w:r w:rsidRPr="00BF7F58">
              <w:rPr>
                <w:rFonts w:asciiTheme="minorHAnsi" w:hAnsiTheme="minorHAnsi" w:cs="Arial"/>
                <w:sz w:val="20"/>
              </w:rPr>
              <w:t xml:space="preserve"> </w:t>
            </w:r>
            <w:r>
              <w:rPr>
                <w:rFonts w:asciiTheme="minorHAnsi" w:hAnsiTheme="minorHAnsi" w:cs="Arial"/>
                <w:sz w:val="20"/>
              </w:rPr>
              <w:t>Nov</w:t>
            </w:r>
            <w:r w:rsidRPr="00BF7F58">
              <w:rPr>
                <w:rFonts w:asciiTheme="minorHAnsi" w:hAnsiTheme="minorHAnsi" w:cs="Arial"/>
                <w:sz w:val="20"/>
              </w:rPr>
              <w:t xml:space="preserve"> 2018</w:t>
            </w:r>
          </w:p>
        </w:tc>
        <w:tc>
          <w:tcPr>
            <w:tcW w:w="1559" w:type="dxa"/>
          </w:tcPr>
          <w:p w:rsidR="006110D8" w:rsidRPr="00BF7F58" w:rsidRDefault="006110D8" w:rsidP="00983649">
            <w:pPr>
              <w:pStyle w:val="Tabletext"/>
              <w:spacing w:after="0" w:line="240" w:lineRule="auto"/>
              <w:jc w:val="center"/>
              <w:rPr>
                <w:rFonts w:asciiTheme="minorHAnsi" w:hAnsiTheme="minorHAnsi" w:cs="Arial"/>
                <w:sz w:val="20"/>
              </w:rPr>
            </w:pPr>
            <w:r w:rsidRPr="00BF7F58">
              <w:rPr>
                <w:rFonts w:asciiTheme="minorHAnsi" w:hAnsiTheme="minorHAnsi" w:cs="Arial"/>
                <w:sz w:val="20"/>
              </w:rPr>
              <w:t>1.0</w:t>
            </w:r>
          </w:p>
        </w:tc>
        <w:tc>
          <w:tcPr>
            <w:tcW w:w="3827" w:type="dxa"/>
          </w:tcPr>
          <w:p w:rsidR="006110D8" w:rsidRPr="00BF7F58" w:rsidRDefault="006110D8" w:rsidP="00B6187A">
            <w:pPr>
              <w:pStyle w:val="Tabletext"/>
              <w:spacing w:after="0" w:line="240" w:lineRule="auto"/>
              <w:rPr>
                <w:rFonts w:asciiTheme="minorHAnsi" w:hAnsiTheme="minorHAnsi" w:cs="Arial"/>
                <w:sz w:val="20"/>
              </w:rPr>
            </w:pPr>
            <w:r w:rsidRPr="00BF7F58">
              <w:rPr>
                <w:rFonts w:asciiTheme="minorHAnsi" w:hAnsiTheme="minorHAnsi" w:cs="Arial"/>
                <w:sz w:val="20"/>
              </w:rPr>
              <w:t xml:space="preserve">Discussion version – </w:t>
            </w:r>
            <w:r w:rsidR="00B6187A">
              <w:rPr>
                <w:rFonts w:asciiTheme="minorHAnsi" w:hAnsiTheme="minorHAnsi" w:cs="Arial"/>
                <w:sz w:val="20"/>
              </w:rPr>
              <w:t xml:space="preserve"> Bob Heelan</w:t>
            </w:r>
            <w:r w:rsidRPr="00BF7F58">
              <w:rPr>
                <w:rFonts w:asciiTheme="minorHAnsi" w:hAnsiTheme="minorHAnsi" w:cs="Arial"/>
                <w:sz w:val="20"/>
              </w:rPr>
              <w:t>, David, Srinivas</w:t>
            </w:r>
            <w:r>
              <w:rPr>
                <w:rFonts w:asciiTheme="minorHAnsi" w:hAnsiTheme="minorHAnsi" w:cs="Arial"/>
                <w:sz w:val="20"/>
              </w:rPr>
              <w:t xml:space="preserve">, </w:t>
            </w:r>
            <w:r w:rsidR="00B6187A">
              <w:rPr>
                <w:rFonts w:asciiTheme="minorHAnsi" w:hAnsiTheme="minorHAnsi" w:cs="Arial"/>
                <w:sz w:val="20"/>
              </w:rPr>
              <w:t>Robert</w:t>
            </w:r>
            <w:bookmarkStart w:id="0" w:name="_GoBack"/>
            <w:bookmarkEnd w:id="0"/>
          </w:p>
        </w:tc>
        <w:tc>
          <w:tcPr>
            <w:tcW w:w="2694" w:type="dxa"/>
          </w:tcPr>
          <w:p w:rsidR="006110D8" w:rsidRPr="00BF7F58" w:rsidRDefault="006110D8" w:rsidP="00983649">
            <w:pPr>
              <w:pStyle w:val="Tabletext"/>
              <w:spacing w:after="0" w:line="240" w:lineRule="auto"/>
              <w:rPr>
                <w:rFonts w:asciiTheme="minorHAnsi" w:hAnsiTheme="minorHAnsi" w:cs="Arial"/>
                <w:sz w:val="20"/>
              </w:rPr>
            </w:pPr>
            <w:r>
              <w:rPr>
                <w:rFonts w:asciiTheme="minorHAnsi" w:hAnsiTheme="minorHAnsi" w:cs="Arial"/>
                <w:sz w:val="20"/>
              </w:rPr>
              <w:t xml:space="preserve">Mayank Patel &amp; </w:t>
            </w:r>
            <w:r w:rsidRPr="00BF7F58">
              <w:rPr>
                <w:rFonts w:asciiTheme="minorHAnsi" w:hAnsiTheme="minorHAnsi" w:cs="Arial"/>
                <w:sz w:val="20"/>
              </w:rPr>
              <w:t>Shubhen Sarangi, Datamatics</w:t>
            </w:r>
          </w:p>
          <w:p w:rsidR="006110D8" w:rsidRPr="00BF7F58" w:rsidRDefault="006110D8" w:rsidP="00983649">
            <w:pPr>
              <w:pStyle w:val="Tabletext"/>
              <w:spacing w:after="0" w:line="240" w:lineRule="auto"/>
              <w:rPr>
                <w:rFonts w:asciiTheme="minorHAnsi" w:hAnsiTheme="minorHAnsi" w:cs="Arial"/>
                <w:sz w:val="20"/>
              </w:rPr>
            </w:pPr>
          </w:p>
        </w:tc>
      </w:tr>
      <w:tr w:rsidR="006110D8" w:rsidRPr="00155B02" w:rsidTr="00983649">
        <w:trPr>
          <w:trHeight w:val="471"/>
        </w:trPr>
        <w:tc>
          <w:tcPr>
            <w:tcW w:w="1410" w:type="dxa"/>
          </w:tcPr>
          <w:p w:rsidR="006110D8" w:rsidRPr="00BF7F58" w:rsidRDefault="006110D8" w:rsidP="00983649">
            <w:pPr>
              <w:pStyle w:val="Tabletext"/>
              <w:spacing w:after="0" w:line="240" w:lineRule="auto"/>
              <w:rPr>
                <w:rFonts w:asciiTheme="minorHAnsi" w:hAnsiTheme="minorHAnsi" w:cs="Arial"/>
                <w:sz w:val="20"/>
              </w:rPr>
            </w:pPr>
          </w:p>
        </w:tc>
        <w:tc>
          <w:tcPr>
            <w:tcW w:w="1559" w:type="dxa"/>
          </w:tcPr>
          <w:p w:rsidR="006110D8" w:rsidRPr="00BF7F58" w:rsidRDefault="006110D8" w:rsidP="00983649">
            <w:pPr>
              <w:pStyle w:val="Tabletext"/>
              <w:spacing w:after="0" w:line="240" w:lineRule="auto"/>
              <w:jc w:val="center"/>
              <w:rPr>
                <w:rFonts w:asciiTheme="minorHAnsi" w:hAnsiTheme="minorHAnsi" w:cs="Arial"/>
                <w:sz w:val="20"/>
              </w:rPr>
            </w:pPr>
          </w:p>
        </w:tc>
        <w:tc>
          <w:tcPr>
            <w:tcW w:w="3827" w:type="dxa"/>
          </w:tcPr>
          <w:p w:rsidR="006110D8" w:rsidRPr="00BF7F58" w:rsidRDefault="006110D8" w:rsidP="00983649">
            <w:pPr>
              <w:pStyle w:val="Tabletext"/>
              <w:spacing w:after="0" w:line="240" w:lineRule="auto"/>
              <w:rPr>
                <w:rFonts w:asciiTheme="minorHAnsi" w:hAnsiTheme="minorHAnsi" w:cs="Arial"/>
                <w:sz w:val="20"/>
              </w:rPr>
            </w:pPr>
          </w:p>
        </w:tc>
        <w:tc>
          <w:tcPr>
            <w:tcW w:w="2694" w:type="dxa"/>
          </w:tcPr>
          <w:p w:rsidR="006110D8" w:rsidRPr="00BF7F58" w:rsidRDefault="006110D8" w:rsidP="00983649">
            <w:pPr>
              <w:pStyle w:val="Tabletext"/>
              <w:spacing w:after="0" w:line="240" w:lineRule="auto"/>
              <w:rPr>
                <w:rFonts w:asciiTheme="minorHAnsi" w:hAnsiTheme="minorHAnsi" w:cs="Arial"/>
                <w:sz w:val="20"/>
              </w:rPr>
            </w:pPr>
          </w:p>
        </w:tc>
      </w:tr>
      <w:tr w:rsidR="006110D8" w:rsidRPr="00155B02" w:rsidTr="00983649">
        <w:trPr>
          <w:trHeight w:val="371"/>
        </w:trPr>
        <w:tc>
          <w:tcPr>
            <w:tcW w:w="1410" w:type="dxa"/>
          </w:tcPr>
          <w:p w:rsidR="006110D8" w:rsidRDefault="006110D8" w:rsidP="00983649">
            <w:pPr>
              <w:pStyle w:val="Tabletext"/>
              <w:jc w:val="center"/>
              <w:rPr>
                <w:rFonts w:asciiTheme="minorHAnsi" w:hAnsiTheme="minorHAnsi" w:cs="Arial"/>
              </w:rPr>
            </w:pPr>
          </w:p>
        </w:tc>
        <w:tc>
          <w:tcPr>
            <w:tcW w:w="1559" w:type="dxa"/>
          </w:tcPr>
          <w:p w:rsidR="006110D8" w:rsidRDefault="006110D8" w:rsidP="00983649">
            <w:pPr>
              <w:pStyle w:val="Tabletext"/>
              <w:jc w:val="center"/>
              <w:rPr>
                <w:rFonts w:asciiTheme="minorHAnsi" w:hAnsiTheme="minorHAnsi" w:cs="Arial"/>
              </w:rPr>
            </w:pPr>
          </w:p>
        </w:tc>
        <w:tc>
          <w:tcPr>
            <w:tcW w:w="3827" w:type="dxa"/>
          </w:tcPr>
          <w:p w:rsidR="006110D8" w:rsidRDefault="006110D8" w:rsidP="00983649">
            <w:pPr>
              <w:pStyle w:val="Tabletext"/>
              <w:rPr>
                <w:rFonts w:asciiTheme="minorHAnsi" w:hAnsiTheme="minorHAnsi" w:cs="Arial"/>
              </w:rPr>
            </w:pPr>
          </w:p>
        </w:tc>
        <w:tc>
          <w:tcPr>
            <w:tcW w:w="2694" w:type="dxa"/>
          </w:tcPr>
          <w:p w:rsidR="006110D8" w:rsidRDefault="006110D8" w:rsidP="00983649">
            <w:pPr>
              <w:pStyle w:val="Tabletext"/>
              <w:rPr>
                <w:rFonts w:asciiTheme="minorHAnsi" w:hAnsiTheme="minorHAnsi" w:cs="Arial"/>
              </w:rPr>
            </w:pPr>
          </w:p>
        </w:tc>
      </w:tr>
    </w:tbl>
    <w:p w:rsidR="006110D8" w:rsidRDefault="006110D8" w:rsidP="006110D8"/>
    <w:p w:rsidR="006110D8" w:rsidRPr="00413E80" w:rsidRDefault="006110D8" w:rsidP="006110D8"/>
    <w:p w:rsidR="006110D8" w:rsidRDefault="006110D8" w:rsidP="006110D8"/>
    <w:p w:rsidR="0018399E" w:rsidRDefault="0018399E" w:rsidP="006110D8">
      <w:pPr>
        <w:pStyle w:val="TOCHeading"/>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4F0DE7" w:rsidRDefault="004F0DE7">
      <w:r>
        <w:br w:type="page"/>
      </w:r>
    </w:p>
    <w:bookmarkStart w:id="1" w:name="_Toc528087071" w:displacedByCustomXml="next"/>
    <w:sdt>
      <w:sdtPr>
        <w:rPr>
          <w:rFonts w:asciiTheme="minorHAnsi" w:eastAsiaTheme="minorEastAsia" w:hAnsiTheme="minorHAnsi" w:cstheme="minorBidi"/>
          <w:color w:val="auto"/>
          <w:sz w:val="22"/>
          <w:szCs w:val="22"/>
        </w:rPr>
        <w:id w:val="-1737999236"/>
        <w:docPartObj>
          <w:docPartGallery w:val="Table of Contents"/>
          <w:docPartUnique/>
        </w:docPartObj>
      </w:sdtPr>
      <w:sdtEndPr>
        <w:rPr>
          <w:b/>
          <w:bCs/>
          <w:noProof/>
        </w:rPr>
      </w:sdtEndPr>
      <w:sdtContent>
        <w:p w:rsidR="006110D8" w:rsidRDefault="006110D8">
          <w:pPr>
            <w:pStyle w:val="TOCHeading"/>
          </w:pPr>
          <w:r>
            <w:t>Table of Contents</w:t>
          </w:r>
        </w:p>
        <w:p w:rsidR="007851F2" w:rsidRDefault="00CB37CE">
          <w:pPr>
            <w:pStyle w:val="TOC1"/>
            <w:tabs>
              <w:tab w:val="right" w:leader="dot" w:pos="9016"/>
            </w:tabs>
            <w:rPr>
              <w:noProof/>
              <w:lang w:eastAsia="en-IN"/>
            </w:rPr>
          </w:pPr>
          <w:r>
            <w:rPr>
              <w:b/>
              <w:bCs/>
              <w:noProof/>
            </w:rPr>
            <w:fldChar w:fldCharType="begin"/>
          </w:r>
          <w:r w:rsidR="006110D8">
            <w:rPr>
              <w:b/>
              <w:bCs/>
              <w:noProof/>
            </w:rPr>
            <w:instrText xml:space="preserve"> TOC \o "1-3" \h \z \u </w:instrText>
          </w:r>
          <w:r>
            <w:rPr>
              <w:b/>
              <w:bCs/>
              <w:noProof/>
            </w:rPr>
            <w:fldChar w:fldCharType="separate"/>
          </w:r>
          <w:hyperlink w:anchor="_Toc530099242" w:history="1">
            <w:r w:rsidR="007851F2" w:rsidRPr="000F34B1">
              <w:rPr>
                <w:rStyle w:val="Hyperlink"/>
                <w:noProof/>
              </w:rPr>
              <w:t>Introduction</w:t>
            </w:r>
            <w:r w:rsidR="007851F2">
              <w:rPr>
                <w:noProof/>
                <w:webHidden/>
              </w:rPr>
              <w:tab/>
            </w:r>
            <w:r>
              <w:rPr>
                <w:noProof/>
                <w:webHidden/>
              </w:rPr>
              <w:fldChar w:fldCharType="begin"/>
            </w:r>
            <w:r w:rsidR="007851F2">
              <w:rPr>
                <w:noProof/>
                <w:webHidden/>
              </w:rPr>
              <w:instrText xml:space="preserve"> PAGEREF _Toc530099242 \h </w:instrText>
            </w:r>
            <w:r>
              <w:rPr>
                <w:noProof/>
                <w:webHidden/>
              </w:rPr>
            </w:r>
            <w:r>
              <w:rPr>
                <w:noProof/>
                <w:webHidden/>
              </w:rPr>
              <w:fldChar w:fldCharType="separate"/>
            </w:r>
            <w:r w:rsidR="007851F2">
              <w:rPr>
                <w:noProof/>
                <w:webHidden/>
              </w:rPr>
              <w:t>4</w:t>
            </w:r>
            <w:r>
              <w:rPr>
                <w:noProof/>
                <w:webHidden/>
              </w:rPr>
              <w:fldChar w:fldCharType="end"/>
            </w:r>
          </w:hyperlink>
        </w:p>
        <w:p w:rsidR="007851F2" w:rsidRDefault="00CB37CE">
          <w:pPr>
            <w:pStyle w:val="TOC1"/>
            <w:tabs>
              <w:tab w:val="right" w:leader="dot" w:pos="9016"/>
            </w:tabs>
            <w:rPr>
              <w:noProof/>
              <w:lang w:eastAsia="en-IN"/>
            </w:rPr>
          </w:pPr>
          <w:hyperlink w:anchor="_Toc530099243" w:history="1">
            <w:r w:rsidR="007851F2" w:rsidRPr="000F34B1">
              <w:rPr>
                <w:rStyle w:val="Hyperlink"/>
                <w:noProof/>
              </w:rPr>
              <w:t>Support in the Intelligent Automation Life-cycle</w:t>
            </w:r>
            <w:r w:rsidR="007851F2">
              <w:rPr>
                <w:noProof/>
                <w:webHidden/>
              </w:rPr>
              <w:tab/>
            </w:r>
            <w:r>
              <w:rPr>
                <w:noProof/>
                <w:webHidden/>
              </w:rPr>
              <w:fldChar w:fldCharType="begin"/>
            </w:r>
            <w:r w:rsidR="007851F2">
              <w:rPr>
                <w:noProof/>
                <w:webHidden/>
              </w:rPr>
              <w:instrText xml:space="preserve"> PAGEREF _Toc530099243 \h </w:instrText>
            </w:r>
            <w:r>
              <w:rPr>
                <w:noProof/>
                <w:webHidden/>
              </w:rPr>
            </w:r>
            <w:r>
              <w:rPr>
                <w:noProof/>
                <w:webHidden/>
              </w:rPr>
              <w:fldChar w:fldCharType="separate"/>
            </w:r>
            <w:r w:rsidR="007851F2">
              <w:rPr>
                <w:noProof/>
                <w:webHidden/>
              </w:rPr>
              <w:t>4</w:t>
            </w:r>
            <w:r>
              <w:rPr>
                <w:noProof/>
                <w:webHidden/>
              </w:rPr>
              <w:fldChar w:fldCharType="end"/>
            </w:r>
          </w:hyperlink>
        </w:p>
        <w:p w:rsidR="007851F2" w:rsidRDefault="00CB37CE">
          <w:pPr>
            <w:pStyle w:val="TOC1"/>
            <w:tabs>
              <w:tab w:val="right" w:leader="dot" w:pos="9016"/>
            </w:tabs>
            <w:rPr>
              <w:noProof/>
              <w:lang w:eastAsia="en-IN"/>
            </w:rPr>
          </w:pPr>
          <w:hyperlink w:anchor="_Toc530099244" w:history="1">
            <w:r w:rsidR="007851F2" w:rsidRPr="000F34B1">
              <w:rPr>
                <w:rStyle w:val="Hyperlink"/>
                <w:noProof/>
              </w:rPr>
              <w:t>Key Stakeholders in Intelligent Automation Support</w:t>
            </w:r>
            <w:r w:rsidR="007851F2">
              <w:rPr>
                <w:noProof/>
                <w:webHidden/>
              </w:rPr>
              <w:tab/>
            </w:r>
            <w:r>
              <w:rPr>
                <w:noProof/>
                <w:webHidden/>
              </w:rPr>
              <w:fldChar w:fldCharType="begin"/>
            </w:r>
            <w:r w:rsidR="007851F2">
              <w:rPr>
                <w:noProof/>
                <w:webHidden/>
              </w:rPr>
              <w:instrText xml:space="preserve"> PAGEREF _Toc530099244 \h </w:instrText>
            </w:r>
            <w:r>
              <w:rPr>
                <w:noProof/>
                <w:webHidden/>
              </w:rPr>
            </w:r>
            <w:r>
              <w:rPr>
                <w:noProof/>
                <w:webHidden/>
              </w:rPr>
              <w:fldChar w:fldCharType="separate"/>
            </w:r>
            <w:r w:rsidR="007851F2">
              <w:rPr>
                <w:noProof/>
                <w:webHidden/>
              </w:rPr>
              <w:t>5</w:t>
            </w:r>
            <w:r>
              <w:rPr>
                <w:noProof/>
                <w:webHidden/>
              </w:rPr>
              <w:fldChar w:fldCharType="end"/>
            </w:r>
          </w:hyperlink>
        </w:p>
        <w:p w:rsidR="007851F2" w:rsidRDefault="00CB37CE">
          <w:pPr>
            <w:pStyle w:val="TOC2"/>
            <w:tabs>
              <w:tab w:val="right" w:leader="dot" w:pos="9016"/>
            </w:tabs>
            <w:rPr>
              <w:noProof/>
              <w:lang w:eastAsia="en-IN"/>
            </w:rPr>
          </w:pPr>
          <w:hyperlink w:anchor="_Toc530099245" w:history="1">
            <w:r w:rsidR="007851F2" w:rsidRPr="000F34B1">
              <w:rPr>
                <w:rStyle w:val="Hyperlink"/>
                <w:noProof/>
              </w:rPr>
              <w:t>Business Process Owner</w:t>
            </w:r>
            <w:r w:rsidR="007851F2">
              <w:rPr>
                <w:noProof/>
                <w:webHidden/>
              </w:rPr>
              <w:tab/>
            </w:r>
            <w:r>
              <w:rPr>
                <w:noProof/>
                <w:webHidden/>
              </w:rPr>
              <w:fldChar w:fldCharType="begin"/>
            </w:r>
            <w:r w:rsidR="007851F2">
              <w:rPr>
                <w:noProof/>
                <w:webHidden/>
              </w:rPr>
              <w:instrText xml:space="preserve"> PAGEREF _Toc530099245 \h </w:instrText>
            </w:r>
            <w:r>
              <w:rPr>
                <w:noProof/>
                <w:webHidden/>
              </w:rPr>
            </w:r>
            <w:r>
              <w:rPr>
                <w:noProof/>
                <w:webHidden/>
              </w:rPr>
              <w:fldChar w:fldCharType="separate"/>
            </w:r>
            <w:r w:rsidR="007851F2">
              <w:rPr>
                <w:noProof/>
                <w:webHidden/>
              </w:rPr>
              <w:t>5</w:t>
            </w:r>
            <w:r>
              <w:rPr>
                <w:noProof/>
                <w:webHidden/>
              </w:rPr>
              <w:fldChar w:fldCharType="end"/>
            </w:r>
          </w:hyperlink>
        </w:p>
        <w:p w:rsidR="007851F2" w:rsidRDefault="00CB37CE">
          <w:pPr>
            <w:pStyle w:val="TOC2"/>
            <w:tabs>
              <w:tab w:val="right" w:leader="dot" w:pos="9016"/>
            </w:tabs>
            <w:rPr>
              <w:noProof/>
              <w:lang w:eastAsia="en-IN"/>
            </w:rPr>
          </w:pPr>
          <w:hyperlink w:anchor="_Toc530099246" w:history="1">
            <w:r w:rsidR="007851F2" w:rsidRPr="000F34B1">
              <w:rPr>
                <w:rStyle w:val="Hyperlink"/>
                <w:noProof/>
              </w:rPr>
              <w:t>Process SME</w:t>
            </w:r>
            <w:r w:rsidR="007851F2">
              <w:rPr>
                <w:noProof/>
                <w:webHidden/>
              </w:rPr>
              <w:tab/>
            </w:r>
            <w:r>
              <w:rPr>
                <w:noProof/>
                <w:webHidden/>
              </w:rPr>
              <w:fldChar w:fldCharType="begin"/>
            </w:r>
            <w:r w:rsidR="007851F2">
              <w:rPr>
                <w:noProof/>
                <w:webHidden/>
              </w:rPr>
              <w:instrText xml:space="preserve"> PAGEREF _Toc530099246 \h </w:instrText>
            </w:r>
            <w:r>
              <w:rPr>
                <w:noProof/>
                <w:webHidden/>
              </w:rPr>
            </w:r>
            <w:r>
              <w:rPr>
                <w:noProof/>
                <w:webHidden/>
              </w:rPr>
              <w:fldChar w:fldCharType="separate"/>
            </w:r>
            <w:r w:rsidR="007851F2">
              <w:rPr>
                <w:noProof/>
                <w:webHidden/>
              </w:rPr>
              <w:t>5</w:t>
            </w:r>
            <w:r>
              <w:rPr>
                <w:noProof/>
                <w:webHidden/>
              </w:rPr>
              <w:fldChar w:fldCharType="end"/>
            </w:r>
          </w:hyperlink>
        </w:p>
        <w:p w:rsidR="007851F2" w:rsidRDefault="00CB37CE">
          <w:pPr>
            <w:pStyle w:val="TOC2"/>
            <w:tabs>
              <w:tab w:val="right" w:leader="dot" w:pos="9016"/>
            </w:tabs>
            <w:rPr>
              <w:noProof/>
              <w:lang w:eastAsia="en-IN"/>
            </w:rPr>
          </w:pPr>
          <w:hyperlink w:anchor="_Toc530099247" w:history="1">
            <w:r w:rsidR="007851F2" w:rsidRPr="000F34B1">
              <w:rPr>
                <w:rStyle w:val="Hyperlink"/>
                <w:noProof/>
              </w:rPr>
              <w:t>Business User</w:t>
            </w:r>
            <w:r w:rsidR="007851F2">
              <w:rPr>
                <w:noProof/>
                <w:webHidden/>
              </w:rPr>
              <w:tab/>
            </w:r>
            <w:r>
              <w:rPr>
                <w:noProof/>
                <w:webHidden/>
              </w:rPr>
              <w:fldChar w:fldCharType="begin"/>
            </w:r>
            <w:r w:rsidR="007851F2">
              <w:rPr>
                <w:noProof/>
                <w:webHidden/>
              </w:rPr>
              <w:instrText xml:space="preserve"> PAGEREF _Toc530099247 \h </w:instrText>
            </w:r>
            <w:r>
              <w:rPr>
                <w:noProof/>
                <w:webHidden/>
              </w:rPr>
            </w:r>
            <w:r>
              <w:rPr>
                <w:noProof/>
                <w:webHidden/>
              </w:rPr>
              <w:fldChar w:fldCharType="separate"/>
            </w:r>
            <w:r w:rsidR="007851F2">
              <w:rPr>
                <w:noProof/>
                <w:webHidden/>
              </w:rPr>
              <w:t>5</w:t>
            </w:r>
            <w:r>
              <w:rPr>
                <w:noProof/>
                <w:webHidden/>
              </w:rPr>
              <w:fldChar w:fldCharType="end"/>
            </w:r>
          </w:hyperlink>
        </w:p>
        <w:p w:rsidR="007851F2" w:rsidRDefault="00CB37CE">
          <w:pPr>
            <w:pStyle w:val="TOC2"/>
            <w:tabs>
              <w:tab w:val="right" w:leader="dot" w:pos="9016"/>
            </w:tabs>
            <w:rPr>
              <w:noProof/>
              <w:lang w:eastAsia="en-IN"/>
            </w:rPr>
          </w:pPr>
          <w:hyperlink w:anchor="_Toc530099248" w:history="1">
            <w:r w:rsidR="007851F2" w:rsidRPr="000F34B1">
              <w:rPr>
                <w:rStyle w:val="Hyperlink"/>
                <w:noProof/>
              </w:rPr>
              <w:t xml:space="preserve">L1 Support:  </w:t>
            </w:r>
            <w:r w:rsidR="00DF44FF">
              <w:rPr>
                <w:rStyle w:val="Hyperlink"/>
                <w:noProof/>
              </w:rPr>
              <w:t>&lt;Company&gt;</w:t>
            </w:r>
            <w:r w:rsidR="007851F2" w:rsidRPr="000F34B1">
              <w:rPr>
                <w:rStyle w:val="Hyperlink"/>
                <w:noProof/>
              </w:rPr>
              <w:t xml:space="preserve"> IT Support &amp; Service Team</w:t>
            </w:r>
            <w:r w:rsidR="007851F2">
              <w:rPr>
                <w:noProof/>
                <w:webHidden/>
              </w:rPr>
              <w:tab/>
            </w:r>
            <w:r>
              <w:rPr>
                <w:noProof/>
                <w:webHidden/>
              </w:rPr>
              <w:fldChar w:fldCharType="begin"/>
            </w:r>
            <w:r w:rsidR="007851F2">
              <w:rPr>
                <w:noProof/>
                <w:webHidden/>
              </w:rPr>
              <w:instrText xml:space="preserve"> PAGEREF _Toc530099248 \h </w:instrText>
            </w:r>
            <w:r>
              <w:rPr>
                <w:noProof/>
                <w:webHidden/>
              </w:rPr>
            </w:r>
            <w:r>
              <w:rPr>
                <w:noProof/>
                <w:webHidden/>
              </w:rPr>
              <w:fldChar w:fldCharType="separate"/>
            </w:r>
            <w:r w:rsidR="007851F2">
              <w:rPr>
                <w:noProof/>
                <w:webHidden/>
              </w:rPr>
              <w:t>5</w:t>
            </w:r>
            <w:r>
              <w:rPr>
                <w:noProof/>
                <w:webHidden/>
              </w:rPr>
              <w:fldChar w:fldCharType="end"/>
            </w:r>
          </w:hyperlink>
        </w:p>
        <w:p w:rsidR="007851F2" w:rsidRDefault="00CB37CE">
          <w:pPr>
            <w:pStyle w:val="TOC2"/>
            <w:tabs>
              <w:tab w:val="right" w:leader="dot" w:pos="9016"/>
            </w:tabs>
            <w:rPr>
              <w:noProof/>
              <w:lang w:eastAsia="en-IN"/>
            </w:rPr>
          </w:pPr>
          <w:hyperlink w:anchor="_Toc530099249" w:history="1">
            <w:r w:rsidR="007851F2" w:rsidRPr="000F34B1">
              <w:rPr>
                <w:rStyle w:val="Hyperlink"/>
                <w:noProof/>
              </w:rPr>
              <w:t>L2 Support: COE Automation Administration Team</w:t>
            </w:r>
            <w:r w:rsidR="007851F2">
              <w:rPr>
                <w:noProof/>
                <w:webHidden/>
              </w:rPr>
              <w:tab/>
            </w:r>
            <w:r>
              <w:rPr>
                <w:noProof/>
                <w:webHidden/>
              </w:rPr>
              <w:fldChar w:fldCharType="begin"/>
            </w:r>
            <w:r w:rsidR="007851F2">
              <w:rPr>
                <w:noProof/>
                <w:webHidden/>
              </w:rPr>
              <w:instrText xml:space="preserve"> PAGEREF _Toc530099249 \h </w:instrText>
            </w:r>
            <w:r>
              <w:rPr>
                <w:noProof/>
                <w:webHidden/>
              </w:rPr>
            </w:r>
            <w:r>
              <w:rPr>
                <w:noProof/>
                <w:webHidden/>
              </w:rPr>
              <w:fldChar w:fldCharType="separate"/>
            </w:r>
            <w:r w:rsidR="007851F2">
              <w:rPr>
                <w:noProof/>
                <w:webHidden/>
              </w:rPr>
              <w:t>5</w:t>
            </w:r>
            <w:r>
              <w:rPr>
                <w:noProof/>
                <w:webHidden/>
              </w:rPr>
              <w:fldChar w:fldCharType="end"/>
            </w:r>
          </w:hyperlink>
        </w:p>
        <w:p w:rsidR="007851F2" w:rsidRDefault="00CB37CE">
          <w:pPr>
            <w:pStyle w:val="TOC2"/>
            <w:tabs>
              <w:tab w:val="right" w:leader="dot" w:pos="9016"/>
            </w:tabs>
            <w:rPr>
              <w:noProof/>
              <w:lang w:eastAsia="en-IN"/>
            </w:rPr>
          </w:pPr>
          <w:hyperlink w:anchor="_Toc530099250" w:history="1">
            <w:r w:rsidR="007851F2" w:rsidRPr="000F34B1">
              <w:rPr>
                <w:rStyle w:val="Hyperlink"/>
                <w:noProof/>
              </w:rPr>
              <w:t>L3 Support: Intelligent Automation Application Owner</w:t>
            </w:r>
            <w:r w:rsidR="007851F2">
              <w:rPr>
                <w:noProof/>
                <w:webHidden/>
              </w:rPr>
              <w:tab/>
            </w:r>
            <w:r>
              <w:rPr>
                <w:noProof/>
                <w:webHidden/>
              </w:rPr>
              <w:fldChar w:fldCharType="begin"/>
            </w:r>
            <w:r w:rsidR="007851F2">
              <w:rPr>
                <w:noProof/>
                <w:webHidden/>
              </w:rPr>
              <w:instrText xml:space="preserve"> PAGEREF _Toc530099250 \h </w:instrText>
            </w:r>
            <w:r>
              <w:rPr>
                <w:noProof/>
                <w:webHidden/>
              </w:rPr>
            </w:r>
            <w:r>
              <w:rPr>
                <w:noProof/>
                <w:webHidden/>
              </w:rPr>
              <w:fldChar w:fldCharType="separate"/>
            </w:r>
            <w:r w:rsidR="007851F2">
              <w:rPr>
                <w:noProof/>
                <w:webHidden/>
              </w:rPr>
              <w:t>6</w:t>
            </w:r>
            <w:r>
              <w:rPr>
                <w:noProof/>
                <w:webHidden/>
              </w:rPr>
              <w:fldChar w:fldCharType="end"/>
            </w:r>
          </w:hyperlink>
        </w:p>
        <w:p w:rsidR="007851F2" w:rsidRDefault="00CB37CE">
          <w:pPr>
            <w:pStyle w:val="TOC2"/>
            <w:tabs>
              <w:tab w:val="right" w:leader="dot" w:pos="9016"/>
            </w:tabs>
            <w:rPr>
              <w:noProof/>
              <w:lang w:eastAsia="en-IN"/>
            </w:rPr>
          </w:pPr>
          <w:hyperlink w:anchor="_Toc530099251" w:history="1">
            <w:r w:rsidR="00DF44FF">
              <w:rPr>
                <w:rStyle w:val="Hyperlink"/>
                <w:noProof/>
              </w:rPr>
              <w:t>&lt;Company&gt;</w:t>
            </w:r>
            <w:r w:rsidR="007851F2" w:rsidRPr="000F34B1">
              <w:rPr>
                <w:rStyle w:val="Hyperlink"/>
                <w:noProof/>
              </w:rPr>
              <w:t xml:space="preserve"> Application Owner Team</w:t>
            </w:r>
            <w:r w:rsidR="007851F2">
              <w:rPr>
                <w:noProof/>
                <w:webHidden/>
              </w:rPr>
              <w:tab/>
            </w:r>
            <w:r>
              <w:rPr>
                <w:noProof/>
                <w:webHidden/>
              </w:rPr>
              <w:fldChar w:fldCharType="begin"/>
            </w:r>
            <w:r w:rsidR="007851F2">
              <w:rPr>
                <w:noProof/>
                <w:webHidden/>
              </w:rPr>
              <w:instrText xml:space="preserve"> PAGEREF _Toc530099251 \h </w:instrText>
            </w:r>
            <w:r>
              <w:rPr>
                <w:noProof/>
                <w:webHidden/>
              </w:rPr>
            </w:r>
            <w:r>
              <w:rPr>
                <w:noProof/>
                <w:webHidden/>
              </w:rPr>
              <w:fldChar w:fldCharType="separate"/>
            </w:r>
            <w:r w:rsidR="007851F2">
              <w:rPr>
                <w:noProof/>
                <w:webHidden/>
              </w:rPr>
              <w:t>6</w:t>
            </w:r>
            <w:r>
              <w:rPr>
                <w:noProof/>
                <w:webHidden/>
              </w:rPr>
              <w:fldChar w:fldCharType="end"/>
            </w:r>
          </w:hyperlink>
        </w:p>
        <w:p w:rsidR="007851F2" w:rsidRDefault="00CB37CE">
          <w:pPr>
            <w:pStyle w:val="TOC2"/>
            <w:tabs>
              <w:tab w:val="right" w:leader="dot" w:pos="9016"/>
            </w:tabs>
            <w:rPr>
              <w:noProof/>
              <w:lang w:eastAsia="en-IN"/>
            </w:rPr>
          </w:pPr>
          <w:hyperlink w:anchor="_Toc530099252" w:history="1">
            <w:r w:rsidR="007851F2" w:rsidRPr="000F34B1">
              <w:rPr>
                <w:rStyle w:val="Hyperlink"/>
                <w:noProof/>
              </w:rPr>
              <w:t>COE Leadership Team</w:t>
            </w:r>
            <w:r w:rsidR="007851F2">
              <w:rPr>
                <w:noProof/>
                <w:webHidden/>
              </w:rPr>
              <w:tab/>
            </w:r>
            <w:r>
              <w:rPr>
                <w:noProof/>
                <w:webHidden/>
              </w:rPr>
              <w:fldChar w:fldCharType="begin"/>
            </w:r>
            <w:r w:rsidR="007851F2">
              <w:rPr>
                <w:noProof/>
                <w:webHidden/>
              </w:rPr>
              <w:instrText xml:space="preserve"> PAGEREF _Toc530099252 \h </w:instrText>
            </w:r>
            <w:r>
              <w:rPr>
                <w:noProof/>
                <w:webHidden/>
              </w:rPr>
            </w:r>
            <w:r>
              <w:rPr>
                <w:noProof/>
                <w:webHidden/>
              </w:rPr>
              <w:fldChar w:fldCharType="separate"/>
            </w:r>
            <w:r w:rsidR="007851F2">
              <w:rPr>
                <w:noProof/>
                <w:webHidden/>
              </w:rPr>
              <w:t>6</w:t>
            </w:r>
            <w:r>
              <w:rPr>
                <w:noProof/>
                <w:webHidden/>
              </w:rPr>
              <w:fldChar w:fldCharType="end"/>
            </w:r>
          </w:hyperlink>
        </w:p>
        <w:p w:rsidR="007851F2" w:rsidRDefault="00CB37CE">
          <w:pPr>
            <w:pStyle w:val="TOC2"/>
            <w:tabs>
              <w:tab w:val="right" w:leader="dot" w:pos="9016"/>
            </w:tabs>
            <w:rPr>
              <w:noProof/>
              <w:lang w:eastAsia="en-IN"/>
            </w:rPr>
          </w:pPr>
          <w:hyperlink w:anchor="_Toc530099253" w:history="1">
            <w:r w:rsidR="00DF44FF">
              <w:rPr>
                <w:rStyle w:val="Hyperlink"/>
                <w:noProof/>
              </w:rPr>
              <w:t>&lt;Company&gt;</w:t>
            </w:r>
            <w:r w:rsidR="007851F2" w:rsidRPr="000F34B1">
              <w:rPr>
                <w:rStyle w:val="Hyperlink"/>
                <w:noProof/>
              </w:rPr>
              <w:t xml:space="preserve"> IT Change Coordinator/Manager</w:t>
            </w:r>
            <w:r w:rsidR="007851F2">
              <w:rPr>
                <w:noProof/>
                <w:webHidden/>
              </w:rPr>
              <w:tab/>
            </w:r>
            <w:r>
              <w:rPr>
                <w:noProof/>
                <w:webHidden/>
              </w:rPr>
              <w:fldChar w:fldCharType="begin"/>
            </w:r>
            <w:r w:rsidR="007851F2">
              <w:rPr>
                <w:noProof/>
                <w:webHidden/>
              </w:rPr>
              <w:instrText xml:space="preserve"> PAGEREF _Toc530099253 \h </w:instrText>
            </w:r>
            <w:r>
              <w:rPr>
                <w:noProof/>
                <w:webHidden/>
              </w:rPr>
            </w:r>
            <w:r>
              <w:rPr>
                <w:noProof/>
                <w:webHidden/>
              </w:rPr>
              <w:fldChar w:fldCharType="separate"/>
            </w:r>
            <w:r w:rsidR="007851F2">
              <w:rPr>
                <w:noProof/>
                <w:webHidden/>
              </w:rPr>
              <w:t>6</w:t>
            </w:r>
            <w:r>
              <w:rPr>
                <w:noProof/>
                <w:webHidden/>
              </w:rPr>
              <w:fldChar w:fldCharType="end"/>
            </w:r>
          </w:hyperlink>
        </w:p>
        <w:p w:rsidR="007851F2" w:rsidRDefault="00CB37CE">
          <w:pPr>
            <w:pStyle w:val="TOC1"/>
            <w:tabs>
              <w:tab w:val="right" w:leader="dot" w:pos="9016"/>
            </w:tabs>
            <w:rPr>
              <w:noProof/>
              <w:lang w:eastAsia="en-IN"/>
            </w:rPr>
          </w:pPr>
          <w:hyperlink w:anchor="_Toc530099254" w:history="1">
            <w:r w:rsidR="007851F2" w:rsidRPr="000F34B1">
              <w:rPr>
                <w:rStyle w:val="Hyperlink"/>
                <w:noProof/>
              </w:rPr>
              <w:t>Typical Support Initiation, Diagnosis &amp; Handling</w:t>
            </w:r>
            <w:r w:rsidR="007851F2">
              <w:rPr>
                <w:noProof/>
                <w:webHidden/>
              </w:rPr>
              <w:tab/>
            </w:r>
            <w:r>
              <w:rPr>
                <w:noProof/>
                <w:webHidden/>
              </w:rPr>
              <w:fldChar w:fldCharType="begin"/>
            </w:r>
            <w:r w:rsidR="007851F2">
              <w:rPr>
                <w:noProof/>
                <w:webHidden/>
              </w:rPr>
              <w:instrText xml:space="preserve"> PAGEREF _Toc530099254 \h </w:instrText>
            </w:r>
            <w:r>
              <w:rPr>
                <w:noProof/>
                <w:webHidden/>
              </w:rPr>
            </w:r>
            <w:r>
              <w:rPr>
                <w:noProof/>
                <w:webHidden/>
              </w:rPr>
              <w:fldChar w:fldCharType="separate"/>
            </w:r>
            <w:r w:rsidR="007851F2">
              <w:rPr>
                <w:noProof/>
                <w:webHidden/>
              </w:rPr>
              <w:t>7</w:t>
            </w:r>
            <w:r>
              <w:rPr>
                <w:noProof/>
                <w:webHidden/>
              </w:rPr>
              <w:fldChar w:fldCharType="end"/>
            </w:r>
          </w:hyperlink>
        </w:p>
        <w:p w:rsidR="007851F2" w:rsidRDefault="00CB37CE">
          <w:pPr>
            <w:pStyle w:val="TOC2"/>
            <w:tabs>
              <w:tab w:val="right" w:leader="dot" w:pos="9016"/>
            </w:tabs>
            <w:rPr>
              <w:noProof/>
              <w:lang w:eastAsia="en-IN"/>
            </w:rPr>
          </w:pPr>
          <w:hyperlink w:anchor="_Toc530099255" w:history="1">
            <w:r w:rsidR="007851F2" w:rsidRPr="000F34B1">
              <w:rPr>
                <w:rStyle w:val="Hyperlink"/>
                <w:noProof/>
              </w:rPr>
              <w:t>Support Request from Business Users/Operational Teams</w:t>
            </w:r>
            <w:r w:rsidR="007851F2">
              <w:rPr>
                <w:noProof/>
                <w:webHidden/>
              </w:rPr>
              <w:tab/>
            </w:r>
            <w:r>
              <w:rPr>
                <w:noProof/>
                <w:webHidden/>
              </w:rPr>
              <w:fldChar w:fldCharType="begin"/>
            </w:r>
            <w:r w:rsidR="007851F2">
              <w:rPr>
                <w:noProof/>
                <w:webHidden/>
              </w:rPr>
              <w:instrText xml:space="preserve"> PAGEREF _Toc530099255 \h </w:instrText>
            </w:r>
            <w:r>
              <w:rPr>
                <w:noProof/>
                <w:webHidden/>
              </w:rPr>
            </w:r>
            <w:r>
              <w:rPr>
                <w:noProof/>
                <w:webHidden/>
              </w:rPr>
              <w:fldChar w:fldCharType="separate"/>
            </w:r>
            <w:r w:rsidR="007851F2">
              <w:rPr>
                <w:noProof/>
                <w:webHidden/>
              </w:rPr>
              <w:t>7</w:t>
            </w:r>
            <w:r>
              <w:rPr>
                <w:noProof/>
                <w:webHidden/>
              </w:rPr>
              <w:fldChar w:fldCharType="end"/>
            </w:r>
          </w:hyperlink>
        </w:p>
        <w:p w:rsidR="007851F2" w:rsidRDefault="00CB37CE">
          <w:pPr>
            <w:pStyle w:val="TOC2"/>
            <w:tabs>
              <w:tab w:val="right" w:leader="dot" w:pos="9016"/>
            </w:tabs>
            <w:rPr>
              <w:noProof/>
              <w:lang w:eastAsia="en-IN"/>
            </w:rPr>
          </w:pPr>
          <w:hyperlink w:anchor="_Toc530099256" w:history="1">
            <w:r w:rsidR="007851F2" w:rsidRPr="000F34B1">
              <w:rPr>
                <w:rStyle w:val="Hyperlink"/>
                <w:noProof/>
              </w:rPr>
              <w:t>Support Request from Bots or Automation COE</w:t>
            </w:r>
            <w:r w:rsidR="007851F2">
              <w:rPr>
                <w:noProof/>
                <w:webHidden/>
              </w:rPr>
              <w:tab/>
            </w:r>
            <w:r>
              <w:rPr>
                <w:noProof/>
                <w:webHidden/>
              </w:rPr>
              <w:fldChar w:fldCharType="begin"/>
            </w:r>
            <w:r w:rsidR="007851F2">
              <w:rPr>
                <w:noProof/>
                <w:webHidden/>
              </w:rPr>
              <w:instrText xml:space="preserve"> PAGEREF _Toc530099256 \h </w:instrText>
            </w:r>
            <w:r>
              <w:rPr>
                <w:noProof/>
                <w:webHidden/>
              </w:rPr>
            </w:r>
            <w:r>
              <w:rPr>
                <w:noProof/>
                <w:webHidden/>
              </w:rPr>
              <w:fldChar w:fldCharType="separate"/>
            </w:r>
            <w:r w:rsidR="007851F2">
              <w:rPr>
                <w:noProof/>
                <w:webHidden/>
              </w:rPr>
              <w:t>7</w:t>
            </w:r>
            <w:r>
              <w:rPr>
                <w:noProof/>
                <w:webHidden/>
              </w:rPr>
              <w:fldChar w:fldCharType="end"/>
            </w:r>
          </w:hyperlink>
        </w:p>
        <w:p w:rsidR="007851F2" w:rsidRDefault="00CB37CE">
          <w:pPr>
            <w:pStyle w:val="TOC1"/>
            <w:tabs>
              <w:tab w:val="right" w:leader="dot" w:pos="9016"/>
            </w:tabs>
            <w:rPr>
              <w:noProof/>
              <w:lang w:eastAsia="en-IN"/>
            </w:rPr>
          </w:pPr>
          <w:hyperlink w:anchor="_Toc530099257" w:history="1">
            <w:r w:rsidR="007851F2" w:rsidRPr="000F34B1">
              <w:rPr>
                <w:rStyle w:val="Hyperlink"/>
                <w:noProof/>
              </w:rPr>
              <w:t>Support Request (SR) Initiation &amp; Resolution Process:</w:t>
            </w:r>
            <w:r w:rsidR="007851F2">
              <w:rPr>
                <w:noProof/>
                <w:webHidden/>
              </w:rPr>
              <w:tab/>
            </w:r>
            <w:r>
              <w:rPr>
                <w:noProof/>
                <w:webHidden/>
              </w:rPr>
              <w:fldChar w:fldCharType="begin"/>
            </w:r>
            <w:r w:rsidR="007851F2">
              <w:rPr>
                <w:noProof/>
                <w:webHidden/>
              </w:rPr>
              <w:instrText xml:space="preserve"> PAGEREF _Toc530099257 \h </w:instrText>
            </w:r>
            <w:r>
              <w:rPr>
                <w:noProof/>
                <w:webHidden/>
              </w:rPr>
            </w:r>
            <w:r>
              <w:rPr>
                <w:noProof/>
                <w:webHidden/>
              </w:rPr>
              <w:fldChar w:fldCharType="separate"/>
            </w:r>
            <w:r w:rsidR="007851F2">
              <w:rPr>
                <w:noProof/>
                <w:webHidden/>
              </w:rPr>
              <w:t>8</w:t>
            </w:r>
            <w:r>
              <w:rPr>
                <w:noProof/>
                <w:webHidden/>
              </w:rPr>
              <w:fldChar w:fldCharType="end"/>
            </w:r>
          </w:hyperlink>
        </w:p>
        <w:p w:rsidR="007851F2" w:rsidRDefault="00CB37CE">
          <w:pPr>
            <w:pStyle w:val="TOC1"/>
            <w:tabs>
              <w:tab w:val="right" w:leader="dot" w:pos="9016"/>
            </w:tabs>
            <w:rPr>
              <w:noProof/>
              <w:lang w:eastAsia="en-IN"/>
            </w:rPr>
          </w:pPr>
          <w:hyperlink w:anchor="_Toc530099258" w:history="1">
            <w:r w:rsidR="007851F2" w:rsidRPr="000F34B1">
              <w:rPr>
                <w:rStyle w:val="Hyperlink"/>
                <w:noProof/>
              </w:rPr>
              <w:t>Post Resolution Review &amp; Communication</w:t>
            </w:r>
            <w:r w:rsidR="007851F2">
              <w:rPr>
                <w:noProof/>
                <w:webHidden/>
              </w:rPr>
              <w:tab/>
            </w:r>
            <w:r>
              <w:rPr>
                <w:noProof/>
                <w:webHidden/>
              </w:rPr>
              <w:fldChar w:fldCharType="begin"/>
            </w:r>
            <w:r w:rsidR="007851F2">
              <w:rPr>
                <w:noProof/>
                <w:webHidden/>
              </w:rPr>
              <w:instrText xml:space="preserve"> PAGEREF _Toc530099258 \h </w:instrText>
            </w:r>
            <w:r>
              <w:rPr>
                <w:noProof/>
                <w:webHidden/>
              </w:rPr>
            </w:r>
            <w:r>
              <w:rPr>
                <w:noProof/>
                <w:webHidden/>
              </w:rPr>
              <w:fldChar w:fldCharType="separate"/>
            </w:r>
            <w:r w:rsidR="007851F2">
              <w:rPr>
                <w:noProof/>
                <w:webHidden/>
              </w:rPr>
              <w:t>9</w:t>
            </w:r>
            <w:r>
              <w:rPr>
                <w:noProof/>
                <w:webHidden/>
              </w:rPr>
              <w:fldChar w:fldCharType="end"/>
            </w:r>
          </w:hyperlink>
        </w:p>
        <w:p w:rsidR="007851F2" w:rsidRDefault="00CB37CE">
          <w:pPr>
            <w:pStyle w:val="TOC1"/>
            <w:tabs>
              <w:tab w:val="right" w:leader="dot" w:pos="9016"/>
            </w:tabs>
            <w:rPr>
              <w:noProof/>
              <w:lang w:eastAsia="en-IN"/>
            </w:rPr>
          </w:pPr>
          <w:hyperlink w:anchor="_Toc530099259" w:history="1">
            <w:r w:rsidR="007851F2" w:rsidRPr="000F34B1">
              <w:rPr>
                <w:rStyle w:val="Hyperlink"/>
                <w:noProof/>
              </w:rPr>
              <w:t>Appendix A: Classification of Support Requests</w:t>
            </w:r>
            <w:r w:rsidR="007851F2">
              <w:rPr>
                <w:noProof/>
                <w:webHidden/>
              </w:rPr>
              <w:tab/>
            </w:r>
            <w:r>
              <w:rPr>
                <w:noProof/>
                <w:webHidden/>
              </w:rPr>
              <w:fldChar w:fldCharType="begin"/>
            </w:r>
            <w:r w:rsidR="007851F2">
              <w:rPr>
                <w:noProof/>
                <w:webHidden/>
              </w:rPr>
              <w:instrText xml:space="preserve"> PAGEREF _Toc530099259 \h </w:instrText>
            </w:r>
            <w:r>
              <w:rPr>
                <w:noProof/>
                <w:webHidden/>
              </w:rPr>
            </w:r>
            <w:r>
              <w:rPr>
                <w:noProof/>
                <w:webHidden/>
              </w:rPr>
              <w:fldChar w:fldCharType="separate"/>
            </w:r>
            <w:r w:rsidR="007851F2">
              <w:rPr>
                <w:noProof/>
                <w:webHidden/>
              </w:rPr>
              <w:t>10</w:t>
            </w:r>
            <w:r>
              <w:rPr>
                <w:noProof/>
                <w:webHidden/>
              </w:rPr>
              <w:fldChar w:fldCharType="end"/>
            </w:r>
          </w:hyperlink>
        </w:p>
        <w:p w:rsidR="007851F2" w:rsidRDefault="00CB37CE">
          <w:pPr>
            <w:pStyle w:val="TOC1"/>
            <w:tabs>
              <w:tab w:val="right" w:leader="dot" w:pos="9016"/>
            </w:tabs>
            <w:rPr>
              <w:noProof/>
              <w:lang w:eastAsia="en-IN"/>
            </w:rPr>
          </w:pPr>
          <w:hyperlink w:anchor="_Toc530099260" w:history="1">
            <w:r w:rsidR="007851F2" w:rsidRPr="000F34B1">
              <w:rPr>
                <w:rStyle w:val="Hyperlink"/>
                <w:noProof/>
              </w:rPr>
              <w:t>Appendix B: Intelligent Automation Support Knowledge Base</w:t>
            </w:r>
            <w:r w:rsidR="007851F2">
              <w:rPr>
                <w:noProof/>
                <w:webHidden/>
              </w:rPr>
              <w:tab/>
            </w:r>
            <w:r>
              <w:rPr>
                <w:noProof/>
                <w:webHidden/>
              </w:rPr>
              <w:fldChar w:fldCharType="begin"/>
            </w:r>
            <w:r w:rsidR="007851F2">
              <w:rPr>
                <w:noProof/>
                <w:webHidden/>
              </w:rPr>
              <w:instrText xml:space="preserve"> PAGEREF _Toc530099260 \h </w:instrText>
            </w:r>
            <w:r>
              <w:rPr>
                <w:noProof/>
                <w:webHidden/>
              </w:rPr>
            </w:r>
            <w:r>
              <w:rPr>
                <w:noProof/>
                <w:webHidden/>
              </w:rPr>
              <w:fldChar w:fldCharType="separate"/>
            </w:r>
            <w:r w:rsidR="007851F2">
              <w:rPr>
                <w:noProof/>
                <w:webHidden/>
              </w:rPr>
              <w:t>11</w:t>
            </w:r>
            <w:r>
              <w:rPr>
                <w:noProof/>
                <w:webHidden/>
              </w:rPr>
              <w:fldChar w:fldCharType="end"/>
            </w:r>
          </w:hyperlink>
        </w:p>
        <w:p w:rsidR="006110D8" w:rsidRDefault="00CB37CE">
          <w:r>
            <w:rPr>
              <w:b/>
              <w:bCs/>
              <w:noProof/>
            </w:rPr>
            <w:fldChar w:fldCharType="end"/>
          </w:r>
        </w:p>
      </w:sdtContent>
    </w:sdt>
    <w:p w:rsidR="006110D8" w:rsidRDefault="006110D8">
      <w:r>
        <w:br w:type="page"/>
      </w:r>
    </w:p>
    <w:p w:rsidR="0018399E" w:rsidRDefault="00B3595F" w:rsidP="00F34ECF">
      <w:pPr>
        <w:pStyle w:val="Heading1"/>
      </w:pPr>
      <w:bookmarkStart w:id="2" w:name="_Toc530099242"/>
      <w:r>
        <w:lastRenderedPageBreak/>
        <w:t>Introduction</w:t>
      </w:r>
      <w:bookmarkEnd w:id="1"/>
      <w:bookmarkEnd w:id="2"/>
    </w:p>
    <w:p w:rsidR="00434B0B" w:rsidRDefault="00434B0B" w:rsidP="00E15A5C">
      <w:pPr>
        <w:pStyle w:val="NoSpacing"/>
      </w:pPr>
    </w:p>
    <w:p w:rsidR="00FD5AED" w:rsidRDefault="004F0DE7" w:rsidP="00F34ECF">
      <w:r w:rsidRPr="00E12F23">
        <w:t xml:space="preserve">RPA and other Intelligent Automation deployments require systematic </w:t>
      </w:r>
      <w:r w:rsidR="00FD5AED">
        <w:t xml:space="preserve">support processes for quickly and appropriately addressing any issues, incidents or disruptions to business processes.  </w:t>
      </w:r>
      <w:r w:rsidR="00E54699" w:rsidRPr="00E12F23">
        <w:t xml:space="preserve"> </w:t>
      </w:r>
      <w:r w:rsidR="00FD5AED">
        <w:t xml:space="preserve">While the Intelligent Automation COE Team monitors the performance, failures and potential issues with deployed automations, </w:t>
      </w:r>
      <w:r w:rsidR="0006474E">
        <w:t>a standardized process</w:t>
      </w:r>
      <w:r w:rsidR="00FD5AED">
        <w:t xml:space="preserve"> for support provides means for addressing any incidents that may occur while Bots are in operation.</w:t>
      </w:r>
    </w:p>
    <w:p w:rsidR="00EE602D" w:rsidRDefault="00FD5AED" w:rsidP="00F34ECF">
      <w:r>
        <w:t>I</w:t>
      </w:r>
      <w:r w:rsidR="00E12F23">
        <w:t xml:space="preserve">t is recommended that the Intelligent Automation </w:t>
      </w:r>
      <w:r>
        <w:t>Support</w:t>
      </w:r>
      <w:r w:rsidR="00E12F23">
        <w:t xml:space="preserve"> </w:t>
      </w:r>
      <w:r w:rsidR="0006474E">
        <w:t>Model</w:t>
      </w:r>
      <w:r w:rsidR="00E12F23">
        <w:t xml:space="preserve"> is aligned </w:t>
      </w:r>
      <w:r w:rsidR="00EE602D">
        <w:t>w</w:t>
      </w:r>
      <w:r w:rsidR="00E12F23">
        <w:t xml:space="preserve">ith </w:t>
      </w:r>
      <w:r w:rsidR="00DF44FF">
        <w:t>&lt;Company&gt;</w:t>
      </w:r>
      <w:r w:rsidR="00E12F23">
        <w:t xml:space="preserve">’s </w:t>
      </w:r>
      <w:r>
        <w:t>Support</w:t>
      </w:r>
      <w:r w:rsidR="00E12F23">
        <w:t xml:space="preserve"> </w:t>
      </w:r>
      <w:r w:rsidR="00C36E59">
        <w:t>process</w:t>
      </w:r>
      <w:r>
        <w:t>es</w:t>
      </w:r>
      <w:r w:rsidR="009E09B5">
        <w:t xml:space="preserve"> and SLAs</w:t>
      </w:r>
      <w:r w:rsidR="00C36E59">
        <w:t xml:space="preserve"> to avoid any process related confusion.</w:t>
      </w:r>
    </w:p>
    <w:p w:rsidR="00434B0B" w:rsidRDefault="00434B0B" w:rsidP="00F34ECF"/>
    <w:p w:rsidR="00BB24BE" w:rsidRDefault="00FD5AED" w:rsidP="00E15A5C">
      <w:pPr>
        <w:pStyle w:val="Heading1"/>
        <w:spacing w:after="0"/>
      </w:pPr>
      <w:bookmarkStart w:id="3" w:name="_Toc528087077"/>
      <w:bookmarkStart w:id="4" w:name="_Toc530099243"/>
      <w:r>
        <w:t>Support</w:t>
      </w:r>
      <w:r w:rsidR="00BB24BE">
        <w:t xml:space="preserve"> in the Intelligent Automation Life-cycle</w:t>
      </w:r>
      <w:bookmarkEnd w:id="3"/>
      <w:bookmarkEnd w:id="4"/>
    </w:p>
    <w:p w:rsidR="00434B0B" w:rsidRDefault="00434B0B" w:rsidP="00E15A5C">
      <w:pPr>
        <w:pStyle w:val="NoSpacing"/>
      </w:pPr>
    </w:p>
    <w:p w:rsidR="00FB44E3" w:rsidRDefault="00D8249F" w:rsidP="00BB24BE">
      <w:r>
        <w:t xml:space="preserve">Support for Intelligent Automation deployments </w:t>
      </w:r>
      <w:r w:rsidR="00FB44E3">
        <w:t xml:space="preserve">is a key </w:t>
      </w:r>
      <w:r w:rsidR="00760492">
        <w:t xml:space="preserve">element to complete </w:t>
      </w:r>
      <w:r w:rsidR="00FB44E3">
        <w:t xml:space="preserve">the overall Intelligent Automation Life-cycle.  It is inevitable that deployed automations will </w:t>
      </w:r>
      <w:r>
        <w:t>have issues of varying severity in production.  These issues or inci</w:t>
      </w:r>
      <w:r w:rsidR="0006474E">
        <w:t>dents will require diagnosis,</w:t>
      </w:r>
      <w:r>
        <w:t xml:space="preserve"> impact analysis</w:t>
      </w:r>
      <w:r w:rsidR="0006474E">
        <w:t xml:space="preserve"> and fixing</w:t>
      </w:r>
      <w:r>
        <w:t xml:space="preserve"> by concerned experts such as Business Process Owner or Process SME, IT Service Desk and/or COE, Application Owner teams.  Systematic diagnosis, analysis and fixing of issues will ensure that issues are addressed in a robust manner with required traceability, risk reduction and lessons learnt from incidents.  </w:t>
      </w:r>
      <w:r w:rsidR="00FB44E3">
        <w:t>Therefore, particular attention should be paid and sufficient procedure and capacity be planned to requests for change to deployed automations.</w:t>
      </w:r>
    </w:p>
    <w:p w:rsidR="00E15A5C" w:rsidRDefault="00E15A5C" w:rsidP="00BB24BE"/>
    <w:p w:rsidR="0006474E" w:rsidRDefault="0006474E" w:rsidP="00BB24BE"/>
    <w:p w:rsidR="00BB24BE" w:rsidRDefault="00D02DAF" w:rsidP="00BB24BE">
      <w:r>
        <w:rPr>
          <w:noProof/>
          <w:lang w:val="en-US"/>
        </w:rPr>
        <w:drawing>
          <wp:inline distT="0" distB="0" distL="0" distR="0">
            <wp:extent cx="5825447" cy="3188341"/>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0477" cy="3196567"/>
                    </a:xfrm>
                    <a:prstGeom prst="rect">
                      <a:avLst/>
                    </a:prstGeom>
                    <a:noFill/>
                  </pic:spPr>
                </pic:pic>
              </a:graphicData>
            </a:graphic>
          </wp:inline>
        </w:drawing>
      </w:r>
    </w:p>
    <w:p w:rsidR="00FD5AED" w:rsidRDefault="00FD5AED" w:rsidP="005708D3">
      <w:pPr>
        <w:rPr>
          <w:rFonts w:asciiTheme="majorHAnsi" w:eastAsiaTheme="majorEastAsia" w:hAnsiTheme="majorHAnsi" w:cstheme="majorBidi"/>
          <w:color w:val="1F4E79" w:themeColor="accent1" w:themeShade="80"/>
          <w:sz w:val="36"/>
          <w:szCs w:val="36"/>
        </w:rPr>
      </w:pPr>
    </w:p>
    <w:p w:rsidR="00FD5AED" w:rsidRDefault="00FD5AED" w:rsidP="00FD5AED">
      <w:pPr>
        <w:pStyle w:val="Heading1"/>
      </w:pPr>
      <w:bookmarkStart w:id="5" w:name="_Toc528087072"/>
      <w:bookmarkStart w:id="6" w:name="_Toc530099244"/>
      <w:r>
        <w:lastRenderedPageBreak/>
        <w:t xml:space="preserve">Key </w:t>
      </w:r>
      <w:r w:rsidR="00F52321">
        <w:t>Stakeholders</w:t>
      </w:r>
      <w:r>
        <w:t xml:space="preserve"> </w:t>
      </w:r>
      <w:r w:rsidR="0006474E">
        <w:t>in</w:t>
      </w:r>
      <w:r>
        <w:t xml:space="preserve"> Intelligent Automation</w:t>
      </w:r>
      <w:bookmarkEnd w:id="5"/>
      <w:r w:rsidR="00F52321">
        <w:t xml:space="preserve"> Support</w:t>
      </w:r>
      <w:bookmarkEnd w:id="6"/>
    </w:p>
    <w:p w:rsidR="00434B0B" w:rsidRDefault="00434B0B" w:rsidP="00E15A5C">
      <w:pPr>
        <w:pStyle w:val="NoSpacing"/>
      </w:pPr>
    </w:p>
    <w:p w:rsidR="00FD5AED" w:rsidRDefault="00434B0B" w:rsidP="00FD5AED">
      <w:r>
        <w:t>Following are key stakeholders and their principal roles in the Intelligent Automation Support Process:</w:t>
      </w:r>
    </w:p>
    <w:p w:rsidR="00FD5AED" w:rsidRDefault="00FD5AED" w:rsidP="00FD5AED">
      <w:pPr>
        <w:pStyle w:val="Heading2"/>
      </w:pPr>
      <w:bookmarkStart w:id="7" w:name="_Toc528087073"/>
      <w:bookmarkStart w:id="8" w:name="_Toc530099245"/>
      <w:r>
        <w:t xml:space="preserve">Business Process </w:t>
      </w:r>
      <w:bookmarkEnd w:id="7"/>
      <w:r w:rsidR="00F52321">
        <w:t>Owner</w:t>
      </w:r>
      <w:bookmarkEnd w:id="8"/>
    </w:p>
    <w:p w:rsidR="00581818" w:rsidRDefault="00A16A51" w:rsidP="00FD5AED">
      <w:r>
        <w:t xml:space="preserve">The </w:t>
      </w:r>
      <w:r w:rsidR="00BD2CBF">
        <w:t xml:space="preserve">concerned </w:t>
      </w:r>
      <w:r>
        <w:t>Business Process Owner is</w:t>
      </w:r>
      <w:r w:rsidR="00BD2CBF">
        <w:t xml:space="preserve"> the primary stakeholder for each support request (SR)</w:t>
      </w:r>
      <w:r>
        <w:t xml:space="preserve">.  Severity, solution approach and delivery timelines are signed-off by the Business Process Owner.  He must be part of the </w:t>
      </w:r>
      <w:r w:rsidR="00BD2CBF">
        <w:t>decision-making process for prioritization and resolution of issues that impact</w:t>
      </w:r>
      <w:r>
        <w:t>.</w:t>
      </w:r>
      <w:r w:rsidR="00BD2CBF">
        <w:t xml:space="preserve">  Business Process Owner may designate a Process SME to r</w:t>
      </w:r>
      <w:r w:rsidR="00581818">
        <w:t xml:space="preserve">epresent </w:t>
      </w:r>
      <w:r w:rsidR="00BD2CBF">
        <w:t>the business considerations and any end customer impacts around an issue.</w:t>
      </w:r>
    </w:p>
    <w:p w:rsidR="00FD5AED" w:rsidRPr="001120D5" w:rsidRDefault="00F52321" w:rsidP="00FD5AED">
      <w:pPr>
        <w:pStyle w:val="Heading2"/>
      </w:pPr>
      <w:bookmarkStart w:id="9" w:name="_Toc530099246"/>
      <w:r>
        <w:t>Process SME</w:t>
      </w:r>
      <w:bookmarkEnd w:id="9"/>
    </w:p>
    <w:p w:rsidR="00A16A51" w:rsidRDefault="00A16A51" w:rsidP="00A16A51">
      <w:r w:rsidRPr="00794618">
        <w:t xml:space="preserve">The Business SME provides required process depth to the </w:t>
      </w:r>
      <w:r w:rsidR="00BD2CBF">
        <w:t xml:space="preserve">support, COE IT and other IT &amp; Change Management teams </w:t>
      </w:r>
      <w:r w:rsidRPr="00794618">
        <w:t xml:space="preserve">to understand the </w:t>
      </w:r>
      <w:r w:rsidR="00BD2CBF">
        <w:t>issue in the</w:t>
      </w:r>
      <w:r w:rsidRPr="00794618">
        <w:t xml:space="preserve"> context of the </w:t>
      </w:r>
      <w:r w:rsidR="00BD2CBF">
        <w:t>automated business process</w:t>
      </w:r>
      <w:r w:rsidRPr="00794618">
        <w:t>.  Business SME i</w:t>
      </w:r>
      <w:r>
        <w:t>s nominated by the Business Process Owner and i</w:t>
      </w:r>
      <w:r w:rsidRPr="00794618">
        <w:t xml:space="preserve">s required as the </w:t>
      </w:r>
      <w:r>
        <w:t>latter</w:t>
      </w:r>
      <w:r w:rsidRPr="00794618">
        <w:t xml:space="preserve"> may not have all fi</w:t>
      </w:r>
      <w:r>
        <w:t xml:space="preserve">ner process details available.  Business SME is responsible for validating the facts, process logic and business impacts and for assisting the </w:t>
      </w:r>
      <w:r w:rsidR="00BD2CBF">
        <w:t>support, development and change</w:t>
      </w:r>
      <w:r>
        <w:t xml:space="preserve"> management team</w:t>
      </w:r>
      <w:r w:rsidR="00BD2CBF">
        <w:t>s</w:t>
      </w:r>
      <w:r>
        <w:t xml:space="preserve"> to finalize the planned changes.  In </w:t>
      </w:r>
      <w:r w:rsidR="00BD2CBF">
        <w:t xml:space="preserve">high severity </w:t>
      </w:r>
      <w:r>
        <w:t>situations, it is vital that the Business SME makes themselves available to meet urgent requirements.</w:t>
      </w:r>
      <w:r w:rsidRPr="00794618">
        <w:t xml:space="preserve"> </w:t>
      </w:r>
    </w:p>
    <w:p w:rsidR="00224B4E" w:rsidRDefault="00224B4E" w:rsidP="00224B4E">
      <w:pPr>
        <w:pStyle w:val="Heading2"/>
      </w:pPr>
      <w:bookmarkStart w:id="10" w:name="_Toc530099247"/>
      <w:r>
        <w:t>Business User</w:t>
      </w:r>
      <w:bookmarkEnd w:id="10"/>
    </w:p>
    <w:p w:rsidR="00FD619F" w:rsidRDefault="00224B4E" w:rsidP="00A16A51">
      <w:r>
        <w:t>The first human operator to detect an issue could be either the Business User or the Automation Administrator.  A Business User can provides adequate understanding to understand the impact of the issue on a specific task, transaction or operation. Not all Business Users would have the larger understanding of overall business process impact and for this latter understanding for severity, the Business Process SME or Business Process Owner should be consulted.</w:t>
      </w:r>
      <w:r w:rsidR="00FD619F">
        <w:t xml:space="preserve">  </w:t>
      </w:r>
    </w:p>
    <w:p w:rsidR="00224B4E" w:rsidRDefault="00FD619F" w:rsidP="00A16A51">
      <w:r>
        <w:t>As a matter of good practice, it is recommended that Business User consult at earliest with Process SME to determine severity/business impact of issue before contacting L1 Support. This will ensure appropriate prioritization of issue from the very beginning and thereby ensure timeliness in response and resolution.</w:t>
      </w:r>
    </w:p>
    <w:p w:rsidR="00F52321" w:rsidRDefault="003A386D" w:rsidP="003A386D">
      <w:pPr>
        <w:pStyle w:val="Heading2"/>
      </w:pPr>
      <w:bookmarkStart w:id="11" w:name="_Toc530099248"/>
      <w:r>
        <w:t xml:space="preserve">L1 Support:  </w:t>
      </w:r>
      <w:r w:rsidR="00DF44FF">
        <w:t>&lt;Company&gt;</w:t>
      </w:r>
      <w:r w:rsidR="00F52321">
        <w:t xml:space="preserve"> IT Support &amp; Service Team</w:t>
      </w:r>
      <w:bookmarkEnd w:id="11"/>
      <w:r>
        <w:t xml:space="preserve">  </w:t>
      </w:r>
    </w:p>
    <w:p w:rsidR="003A386D" w:rsidRPr="003A386D" w:rsidRDefault="00DF44FF" w:rsidP="003A386D">
      <w:r>
        <w:t>&lt;Company&gt;</w:t>
      </w:r>
      <w:r w:rsidR="000F7674">
        <w:t>’s L1 Support Team shall be primary point of contact for all business users who have issues, incidents or questions about any Bots or Intelligent Automation deployments.  L1 Support Teams are not subject matter experts in the Intelligent Automation domain and will handle queries to do a first level diagnosis of the issue or problem encountered by a business user.  They shall refer to standardized Knowledge Base for conducting this diagnosis and prioritization. L1 Support team shall refer issues to L2 Support (COE Automation Administrators) if they are unable to address and close issue to Business User’s satisfaction.</w:t>
      </w:r>
      <w:r w:rsidR="0023111E">
        <w:t xml:space="preserve">  L1 Support Team shall be provided with adequate ‘Read-Only’ access to Management Console (Intelligent Automation Production Dashboard) to review status of any issues.</w:t>
      </w:r>
    </w:p>
    <w:p w:rsidR="00F52321" w:rsidRPr="001120D5" w:rsidRDefault="003A386D" w:rsidP="00F52321">
      <w:pPr>
        <w:pStyle w:val="Heading2"/>
      </w:pPr>
      <w:bookmarkStart w:id="12" w:name="_Toc530099249"/>
      <w:r>
        <w:t xml:space="preserve">L2 Support: </w:t>
      </w:r>
      <w:r w:rsidR="00581818">
        <w:t>COE Automation Administration</w:t>
      </w:r>
      <w:r w:rsidR="00F52321">
        <w:t xml:space="preserve"> Team</w:t>
      </w:r>
      <w:bookmarkEnd w:id="12"/>
    </w:p>
    <w:p w:rsidR="00F52321" w:rsidRDefault="0023111E" w:rsidP="00F52321">
      <w:r>
        <w:t xml:space="preserve">Automation Administrator(s) in the Intelligent Automation COE shall monitor the health and performance of all Bots/automated business processes and of the production environment.  Automation Admin is responsible for pro-actively addressing issues that are communicated and </w:t>
      </w:r>
      <w:r>
        <w:lastRenderedPageBreak/>
        <w:t xml:space="preserve">persisted within the Management Console.  This will ensure that issues are not waiting upon Business Users or other personas to be addressed.  As all issues may not be detected or communicated to end uers, it is vital that the Automation Administrator role has 24x7 coverage if Bots are expected to be operating on a 24x7 routine.  The Automation Administrator will analyse and address issues escalated to them by the L1 Support team.  In case Automation Admin is unable to resolve and close the issue, he will refer the issue to the L3 Support team for Intelligent Automation.  </w:t>
      </w:r>
    </w:p>
    <w:p w:rsidR="00581818" w:rsidRPr="001120D5" w:rsidRDefault="003A386D" w:rsidP="00581818">
      <w:pPr>
        <w:pStyle w:val="Heading2"/>
      </w:pPr>
      <w:bookmarkStart w:id="13" w:name="_Toc530099250"/>
      <w:r>
        <w:t xml:space="preserve">L3 Support: </w:t>
      </w:r>
      <w:r w:rsidR="00581818">
        <w:t xml:space="preserve">Intelligent Automation </w:t>
      </w:r>
      <w:r w:rsidR="005041AC">
        <w:t>Application Owner</w:t>
      </w:r>
      <w:bookmarkEnd w:id="13"/>
      <w:r>
        <w:t xml:space="preserve"> </w:t>
      </w:r>
    </w:p>
    <w:p w:rsidR="00581818" w:rsidRDefault="0023111E" w:rsidP="00581818">
      <w:r>
        <w:t xml:space="preserve">The Intelligent </w:t>
      </w:r>
      <w:r w:rsidR="00232B70">
        <w:t xml:space="preserve">Automation Application Owner </w:t>
      </w:r>
      <w:r>
        <w:t xml:space="preserve">is the overall technical expert for all Intelligent Automation bots deployed in production.  This persona (or team of individuals) provide the technical expertise to analyse Bots for possible errors in execution or performance.  The Application Owner shall ensure that issues brought to their attention by the COE Automation Admin team is </w:t>
      </w:r>
      <w:r w:rsidR="00232B70">
        <w:t xml:space="preserve">analysed and resolved as per business requirements, technical feasibility so as to meet the severity and turn-around criteria of </w:t>
      </w:r>
      <w:r w:rsidR="00DF44FF">
        <w:t>&lt;Company&gt;</w:t>
      </w:r>
      <w:r w:rsidR="00232B70">
        <w:t xml:space="preserve">’ IT Support standards/SLAs.  If any issue requires changes to Bot scripts, then Application Owner will discuss with COE Director and IT Change Coordinator to ensure that such change is handled as per </w:t>
      </w:r>
      <w:r w:rsidR="00DF44FF">
        <w:t>&lt;Company&gt;</w:t>
      </w:r>
      <w:r w:rsidR="00232B70">
        <w:t>’s Change Management Process and Procedure.</w:t>
      </w:r>
    </w:p>
    <w:p w:rsidR="005041AC" w:rsidRDefault="005041AC" w:rsidP="00581818">
      <w:r>
        <w:t xml:space="preserve">Based </w:t>
      </w:r>
      <w:r w:rsidR="00232B70">
        <w:t xml:space="preserve">on additional intelligent automation </w:t>
      </w:r>
      <w:r>
        <w:t xml:space="preserve">technologies </w:t>
      </w:r>
      <w:r w:rsidR="00232B70">
        <w:t xml:space="preserve">such as AI, ML, ChatBots, OCR, etc., that may be deployed in future, the </w:t>
      </w:r>
      <w:r>
        <w:t>number of application owners may increase</w:t>
      </w:r>
      <w:r w:rsidR="00232B70">
        <w:t xml:space="preserve">.  In such case L3 Support would rely on COE </w:t>
      </w:r>
      <w:r>
        <w:t xml:space="preserve">Automation Admin </w:t>
      </w:r>
      <w:r w:rsidR="00232B70">
        <w:t xml:space="preserve">to appropriately direct issues to right application owner.  </w:t>
      </w:r>
    </w:p>
    <w:p w:rsidR="00BC55B5" w:rsidRPr="001120D5" w:rsidRDefault="00DF44FF" w:rsidP="00BC55B5">
      <w:pPr>
        <w:pStyle w:val="Heading2"/>
      </w:pPr>
      <w:bookmarkStart w:id="14" w:name="_Toc530099251"/>
      <w:r>
        <w:t>&lt;Company&gt;</w:t>
      </w:r>
      <w:r w:rsidR="005041AC">
        <w:t xml:space="preserve"> Application Owner</w:t>
      </w:r>
      <w:r w:rsidR="00BC55B5">
        <w:t xml:space="preserve"> Team</w:t>
      </w:r>
      <w:bookmarkEnd w:id="14"/>
    </w:p>
    <w:p w:rsidR="00957202" w:rsidRDefault="00957202" w:rsidP="00BC55B5">
      <w:r>
        <w:t xml:space="preserve">In case of issues that may require solutions from other Application Owners within </w:t>
      </w:r>
      <w:r w:rsidR="00DF44FF">
        <w:t>&lt;Company&gt;</w:t>
      </w:r>
      <w:r>
        <w:t xml:space="preserve">, then L2 or L3 teams shall reach out to such Application Owner.  COE Director and L1 Support Team Manager shall be kept informed of such additional L2, L3 support requirement and such assignment and assistance shall be tracked in ticketing system for monitoring and lessons learnt perspectives.  </w:t>
      </w:r>
    </w:p>
    <w:p w:rsidR="00672A60" w:rsidRPr="001120D5" w:rsidRDefault="00672A60" w:rsidP="00672A60">
      <w:pPr>
        <w:pStyle w:val="Heading2"/>
      </w:pPr>
      <w:bookmarkStart w:id="15" w:name="_Toc530099252"/>
      <w:r>
        <w:t>COE Leadership Team</w:t>
      </w:r>
      <w:bookmarkEnd w:id="15"/>
    </w:p>
    <w:p w:rsidR="00672A60" w:rsidRDefault="00655A30" w:rsidP="00BC55B5">
      <w:r>
        <w:t xml:space="preserve">Automation COE Director shall be kept informed of all issues with regard to any Bots or automated processes in production or any issues that may occur in the Intelligent Automation Infrastructure. Where required, COE Director and COE Team shall be consulted to ensure that solutions that are optimal and stable from both business and technical perspectives are deployed.  COE Director and Application Owner shall review the issues outstanding regularly with Head of IT Support at </w:t>
      </w:r>
      <w:r w:rsidR="00DF44FF">
        <w:t>&lt;Company&gt;</w:t>
      </w:r>
      <w:r>
        <w:t xml:space="preserve"> to ensure timely resolution of all issues.</w:t>
      </w:r>
    </w:p>
    <w:p w:rsidR="002473DF" w:rsidRPr="00655A30" w:rsidRDefault="00DF44FF" w:rsidP="00655A30">
      <w:pPr>
        <w:pStyle w:val="Heading2"/>
      </w:pPr>
      <w:bookmarkStart w:id="16" w:name="_Toc530099253"/>
      <w:r>
        <w:t>&lt;Company&gt;</w:t>
      </w:r>
      <w:r w:rsidR="00655A30">
        <w:t xml:space="preserve"> IT </w:t>
      </w:r>
      <w:r w:rsidR="00F5018F">
        <w:t xml:space="preserve">Change </w:t>
      </w:r>
      <w:r w:rsidR="00655A30">
        <w:t>Coordinator</w:t>
      </w:r>
      <w:r w:rsidR="00F5018F">
        <w:t>/Manager</w:t>
      </w:r>
      <w:bookmarkEnd w:id="16"/>
    </w:p>
    <w:p w:rsidR="00655A30" w:rsidRPr="00655A30" w:rsidRDefault="00DF44FF" w:rsidP="00F5018F">
      <w:r>
        <w:t>&lt;Company&gt;</w:t>
      </w:r>
      <w:r w:rsidR="00F5018F">
        <w:t>’s IT Change Coordinator will be informed by Application Owner for Intelligent Automation whenever a code-level or other technical/functionality change to existing Bot is required.  As per standard IT Change Process &amp; Procedure the IT Change Coordinator shall Create change record, document all details of required change, plan resources required and communicate any Technical Review other discussions with required stakeholders to initiate the change control process and speedy resolution of the issue.  IT Change Coordinator shall o</w:t>
      </w:r>
      <w:r w:rsidR="00655A30" w:rsidRPr="00655A30">
        <w:t xml:space="preserve">btain all appropriate approvals in Remedy prior to the Change Control Meeting </w:t>
      </w:r>
      <w:r w:rsidR="00F5018F">
        <w:t xml:space="preserve">as per </w:t>
      </w:r>
      <w:r>
        <w:t>&lt;Company&gt;</w:t>
      </w:r>
      <w:r w:rsidR="00F5018F">
        <w:t xml:space="preserve"> IT Change process.</w:t>
      </w:r>
      <w:r w:rsidR="00AB3395">
        <w:t xml:space="preserve">  Once Change has been implemented, the IT Change Coordinator closes the loop with the Intelligent Automation Application Owner and other stakeholders, who in turn convey the resolution to business </w:t>
      </w:r>
      <w:r w:rsidR="00FA5DF7">
        <w:t>stakeholders</w:t>
      </w:r>
      <w:r w:rsidR="00AB3395">
        <w:t>.</w:t>
      </w:r>
    </w:p>
    <w:p w:rsidR="007A31FD" w:rsidRPr="00846E50" w:rsidRDefault="006E79F9" w:rsidP="00D8249F">
      <w:pPr>
        <w:pStyle w:val="Heading1"/>
      </w:pPr>
      <w:bookmarkStart w:id="17" w:name="_Toc530099254"/>
      <w:r>
        <w:lastRenderedPageBreak/>
        <w:t>Typical Support Initiation, Diagnosis &amp; Handling</w:t>
      </w:r>
      <w:bookmarkEnd w:id="17"/>
      <w:r w:rsidR="00846E50" w:rsidRPr="00846E50">
        <w:t xml:space="preserve"> </w:t>
      </w:r>
    </w:p>
    <w:p w:rsidR="00434B0B" w:rsidRDefault="00434B0B" w:rsidP="005708D3"/>
    <w:p w:rsidR="00E54699" w:rsidRDefault="006E79F9" w:rsidP="005708D3">
      <w:r>
        <w:t>Support Requests (SR) may be initiated either by Business Users (Operational Teams) or by COE Administration teams. In each of these cases typical diagnosis will follow the standard checks are per below:</w:t>
      </w:r>
    </w:p>
    <w:p w:rsidR="0013130B" w:rsidRDefault="0013130B" w:rsidP="00E15A5C">
      <w:pPr>
        <w:pStyle w:val="Heading2"/>
      </w:pPr>
      <w:bookmarkStart w:id="18" w:name="_Toc530099255"/>
      <w:r>
        <w:t>Support Request f</w:t>
      </w:r>
      <w:r w:rsidRPr="0013130B">
        <w:t>rom Business Users/Operational Teams</w:t>
      </w:r>
      <w:bookmarkEnd w:id="18"/>
    </w:p>
    <w:p w:rsidR="00E15A5C" w:rsidRPr="00E15A5C" w:rsidRDefault="00E15A5C" w:rsidP="00E15A5C">
      <w:pPr>
        <w:pStyle w:val="NoSpacing"/>
      </w:pPr>
    </w:p>
    <w:p w:rsidR="0013130B" w:rsidRDefault="0013130B" w:rsidP="0013130B">
      <w:pPr>
        <w:shd w:val="clear" w:color="auto" w:fill="FFFFFF"/>
        <w:spacing w:after="0" w:line="240" w:lineRule="auto"/>
        <w:rPr>
          <w:rFonts w:ascii="Calibri" w:eastAsia="Times New Roman" w:hAnsi="Calibri" w:cs="Times New Roman"/>
          <w:color w:val="212121"/>
          <w:lang w:eastAsia="en-IN"/>
        </w:rPr>
      </w:pPr>
      <w:r w:rsidRPr="00AB2182">
        <w:rPr>
          <w:rFonts w:ascii="Calibri" w:eastAsia="Times New Roman" w:hAnsi="Calibri" w:cs="Times New Roman"/>
          <w:color w:val="212121"/>
          <w:lang w:eastAsia="en-IN"/>
        </w:rPr>
        <w:t xml:space="preserve">Example:  </w:t>
      </w:r>
      <w:r w:rsidRPr="0013130B">
        <w:rPr>
          <w:rFonts w:ascii="Calibri" w:eastAsia="Times New Roman" w:hAnsi="Calibri" w:cs="Times New Roman"/>
          <w:i/>
          <w:color w:val="212121"/>
          <w:lang w:eastAsia="en-IN"/>
        </w:rPr>
        <w:t>the report or process is “doing things wrong” or “throwing bad data”</w:t>
      </w:r>
    </w:p>
    <w:p w:rsidR="0013130B" w:rsidRDefault="0013130B" w:rsidP="0013130B">
      <w:pPr>
        <w:shd w:val="clear" w:color="auto" w:fill="FFFFFF"/>
        <w:spacing w:after="0" w:line="240" w:lineRule="auto"/>
        <w:rPr>
          <w:rFonts w:ascii="Calibri" w:eastAsia="Times New Roman" w:hAnsi="Calibri" w:cs="Times New Roman"/>
          <w:color w:val="212121"/>
          <w:lang w:eastAsia="en-IN"/>
        </w:rPr>
      </w:pPr>
    </w:p>
    <w:p w:rsidR="0013130B" w:rsidRPr="00AB2182" w:rsidRDefault="0013130B" w:rsidP="0013130B">
      <w:pPr>
        <w:shd w:val="clear" w:color="auto" w:fill="FFFFFF"/>
        <w:spacing w:after="0" w:line="240" w:lineRule="auto"/>
        <w:rPr>
          <w:rFonts w:ascii="Calibri" w:eastAsia="Times New Roman" w:hAnsi="Calibri" w:cs="Times New Roman"/>
          <w:color w:val="212121"/>
          <w:lang w:eastAsia="en-IN"/>
        </w:rPr>
      </w:pPr>
      <w:r>
        <w:rPr>
          <w:rFonts w:ascii="Calibri" w:eastAsia="Times New Roman" w:hAnsi="Calibri" w:cs="Times New Roman"/>
          <w:color w:val="212121"/>
          <w:lang w:eastAsia="en-IN"/>
        </w:rPr>
        <w:t>L1 Support will follow the following steps based on Knowledge Base specific to the Automated Process:</w:t>
      </w:r>
    </w:p>
    <w:p w:rsidR="0013130B" w:rsidRDefault="0013130B" w:rsidP="0013130B">
      <w:pPr>
        <w:pStyle w:val="ListParagraph"/>
        <w:shd w:val="clear" w:color="auto" w:fill="FFFFFF"/>
        <w:spacing w:after="0" w:line="240" w:lineRule="auto"/>
        <w:ind w:left="360"/>
        <w:rPr>
          <w:rFonts w:ascii="Calibri" w:eastAsia="Times New Roman" w:hAnsi="Calibri" w:cs="Segoe UI"/>
          <w:color w:val="212121"/>
          <w:lang w:eastAsia="en-IN"/>
        </w:rPr>
      </w:pPr>
    </w:p>
    <w:p w:rsidR="0013130B" w:rsidRDefault="001D7C94"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 xml:space="preserve">Step 1 - </w:t>
      </w:r>
      <w:r w:rsidR="0013130B" w:rsidRPr="0013130B">
        <w:rPr>
          <w:rFonts w:ascii="Calibri" w:eastAsia="Times New Roman" w:hAnsi="Calibri" w:cs="Segoe UI"/>
          <w:color w:val="212121"/>
          <w:lang w:eastAsia="en-IN"/>
        </w:rPr>
        <w:t xml:space="preserve">service desk is informed of Bot, issue and priority by Business User; </w:t>
      </w:r>
      <w:r w:rsidR="0013130B">
        <w:rPr>
          <w:rFonts w:ascii="Calibri" w:eastAsia="Times New Roman" w:hAnsi="Calibri" w:cs="Segoe UI"/>
          <w:color w:val="212121"/>
          <w:lang w:eastAsia="en-IN"/>
        </w:rPr>
        <w:t xml:space="preserve">reviews if same issue is logged in Management Console; if not </w:t>
      </w:r>
      <w:r w:rsidR="0013130B" w:rsidRPr="0013130B">
        <w:rPr>
          <w:rFonts w:ascii="Calibri" w:eastAsia="Times New Roman" w:hAnsi="Calibri" w:cs="Segoe UI"/>
          <w:color w:val="212121"/>
          <w:lang w:eastAsia="en-IN"/>
        </w:rPr>
        <w:t>logs ticket</w:t>
      </w:r>
    </w:p>
    <w:p w:rsidR="0013130B" w:rsidRPr="0013130B" w:rsidRDefault="0013130B"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 xml:space="preserve">Step 2 </w:t>
      </w:r>
      <w:r w:rsidR="001D7C94">
        <w:rPr>
          <w:rFonts w:ascii="Calibri" w:eastAsia="Times New Roman" w:hAnsi="Calibri" w:cs="Segoe UI"/>
          <w:color w:val="212121"/>
          <w:lang w:eastAsia="en-IN"/>
        </w:rPr>
        <w:t xml:space="preserve">- </w:t>
      </w:r>
      <w:r>
        <w:rPr>
          <w:rFonts w:ascii="Calibri" w:eastAsia="Times New Roman" w:hAnsi="Calibri" w:cs="Segoe UI"/>
          <w:color w:val="212121"/>
          <w:lang w:eastAsia="en-IN"/>
        </w:rPr>
        <w:t>service desk confirms whether issue is listed under ‘Known Issues’ in KB</w:t>
      </w:r>
    </w:p>
    <w:p w:rsidR="0013130B" w:rsidRPr="0013130B" w:rsidRDefault="0013130B"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sidRPr="0013130B">
        <w:rPr>
          <w:rFonts w:ascii="Calibri" w:eastAsia="Times New Roman" w:hAnsi="Calibri" w:cs="Segoe UI"/>
          <w:color w:val="212121"/>
          <w:lang w:eastAsia="en-IN"/>
        </w:rPr>
        <w:t>Step 2 -  service desk confirms “not A” (as per KB article on specific Bot, automated process)</w:t>
      </w:r>
    </w:p>
    <w:p w:rsidR="0013130B" w:rsidRPr="0013130B" w:rsidRDefault="001D7C94"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 xml:space="preserve">Step 2 - </w:t>
      </w:r>
      <w:r w:rsidR="0013130B" w:rsidRPr="0013130B">
        <w:rPr>
          <w:rFonts w:ascii="Calibri" w:eastAsia="Times New Roman" w:hAnsi="Calibri" w:cs="Segoe UI"/>
          <w:color w:val="212121"/>
          <w:lang w:eastAsia="en-IN"/>
        </w:rPr>
        <w:t>service desk confirms “not B”</w:t>
      </w:r>
      <w:r w:rsidR="0013130B">
        <w:rPr>
          <w:rFonts w:ascii="Calibri" w:eastAsia="Times New Roman" w:hAnsi="Calibri" w:cs="Segoe UI"/>
          <w:color w:val="212121"/>
          <w:lang w:eastAsia="en-IN"/>
        </w:rPr>
        <w:t xml:space="preserve"> </w:t>
      </w:r>
      <w:r w:rsidR="0013130B" w:rsidRPr="0013130B">
        <w:rPr>
          <w:rFonts w:ascii="Calibri" w:eastAsia="Times New Roman" w:hAnsi="Calibri" w:cs="Segoe UI"/>
          <w:color w:val="212121"/>
          <w:lang w:eastAsia="en-IN"/>
        </w:rPr>
        <w:t>(as per KB article on specific Bot, automated process)</w:t>
      </w:r>
    </w:p>
    <w:p w:rsidR="0013130B" w:rsidRDefault="001D7C94"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 xml:space="preserve">Step 3 - </w:t>
      </w:r>
      <w:r w:rsidR="0013130B" w:rsidRPr="0013130B">
        <w:rPr>
          <w:rFonts w:ascii="Calibri" w:eastAsia="Times New Roman" w:hAnsi="Calibri" w:cs="Segoe UI"/>
          <w:color w:val="212121"/>
          <w:lang w:eastAsia="en-IN"/>
        </w:rPr>
        <w:t>service desk attempts to solve “C” (etc. as per KB article)</w:t>
      </w:r>
    </w:p>
    <w:p w:rsidR="001D7C94" w:rsidRDefault="001D7C94"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Step q -  .  .  .</w:t>
      </w:r>
    </w:p>
    <w:p w:rsidR="001D7C94" w:rsidRDefault="001D7C94" w:rsidP="001D7C94">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Step r -   .  .  .</w:t>
      </w:r>
    </w:p>
    <w:p w:rsidR="001D7C94" w:rsidRDefault="001D7C94"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p>
    <w:p w:rsidR="0013130B" w:rsidRPr="0013130B" w:rsidRDefault="001D7C94"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Step n</w:t>
      </w:r>
      <w:r w:rsidR="0013130B" w:rsidRPr="0013130B">
        <w:rPr>
          <w:rFonts w:ascii="Calibri" w:eastAsia="Times New Roman" w:hAnsi="Calibri" w:cs="Segoe UI"/>
          <w:color w:val="212121"/>
          <w:lang w:eastAsia="en-IN"/>
        </w:rPr>
        <w:t>– service desk transfers ticket to Automation COE queue (L2 Support)</w:t>
      </w:r>
    </w:p>
    <w:p w:rsidR="0013130B" w:rsidRPr="00AB2182" w:rsidRDefault="0013130B" w:rsidP="0013130B">
      <w:pPr>
        <w:shd w:val="clear" w:color="auto" w:fill="FFFFFF"/>
        <w:spacing w:after="0" w:line="240" w:lineRule="auto"/>
        <w:ind w:left="1080"/>
        <w:rPr>
          <w:rFonts w:ascii="Calibri" w:eastAsia="Times New Roman" w:hAnsi="Calibri" w:cs="Segoe UI"/>
          <w:color w:val="212121"/>
          <w:lang w:eastAsia="en-IN"/>
        </w:rPr>
      </w:pPr>
    </w:p>
    <w:p w:rsidR="0013130B" w:rsidRDefault="0013130B" w:rsidP="0013130B">
      <w:pPr>
        <w:shd w:val="clear" w:color="auto" w:fill="FFFFFF"/>
        <w:spacing w:after="0" w:line="240" w:lineRule="auto"/>
        <w:rPr>
          <w:rFonts w:ascii="Calibri" w:eastAsia="Times New Roman" w:hAnsi="Calibri" w:cs="Times New Roman"/>
          <w:color w:val="212121"/>
          <w:lang w:eastAsia="en-IN"/>
        </w:rPr>
      </w:pPr>
      <w:r w:rsidRPr="00AB2182">
        <w:rPr>
          <w:rFonts w:ascii="Calibri" w:eastAsia="Times New Roman" w:hAnsi="Calibri" w:cs="Times New Roman"/>
          <w:color w:val="212121"/>
          <w:lang w:eastAsia="en-IN"/>
        </w:rPr>
        <w:t> </w:t>
      </w:r>
    </w:p>
    <w:p w:rsidR="0013130B" w:rsidRDefault="0013130B" w:rsidP="00E15A5C">
      <w:pPr>
        <w:pStyle w:val="Heading2"/>
      </w:pPr>
      <w:bookmarkStart w:id="19" w:name="_Toc530099256"/>
      <w:r>
        <w:t xml:space="preserve">Support Request </w:t>
      </w:r>
      <w:r w:rsidR="00D04496">
        <w:t>from Bots or Automation COE</w:t>
      </w:r>
      <w:bookmarkEnd w:id="19"/>
    </w:p>
    <w:p w:rsidR="00E15A5C" w:rsidRPr="00E15A5C" w:rsidRDefault="00E15A5C" w:rsidP="00E15A5C">
      <w:pPr>
        <w:pStyle w:val="NoSpacing"/>
      </w:pPr>
    </w:p>
    <w:p w:rsidR="0013130B" w:rsidRPr="00D04496" w:rsidRDefault="0013130B" w:rsidP="0013130B">
      <w:pPr>
        <w:shd w:val="clear" w:color="auto" w:fill="FFFFFF"/>
        <w:spacing w:after="0" w:line="240" w:lineRule="auto"/>
        <w:rPr>
          <w:rFonts w:ascii="Calibri" w:eastAsia="Times New Roman" w:hAnsi="Calibri" w:cs="Times New Roman"/>
          <w:i/>
          <w:iCs/>
          <w:color w:val="212121"/>
          <w:lang w:eastAsia="en-IN"/>
        </w:rPr>
      </w:pPr>
      <w:r w:rsidRPr="00AB2182">
        <w:rPr>
          <w:rFonts w:ascii="Calibri" w:eastAsia="Times New Roman" w:hAnsi="Calibri" w:cs="Times New Roman"/>
          <w:color w:val="212121"/>
          <w:lang w:eastAsia="en-IN"/>
        </w:rPr>
        <w:t xml:space="preserve">Example:  </w:t>
      </w:r>
      <w:r w:rsidRPr="00D04496">
        <w:rPr>
          <w:rFonts w:ascii="Calibri" w:eastAsia="Times New Roman" w:hAnsi="Calibri" w:cs="Times New Roman"/>
          <w:i/>
          <w:color w:val="212121"/>
          <w:lang w:eastAsia="en-IN"/>
        </w:rPr>
        <w:t>the process throws an error to management console </w:t>
      </w:r>
      <w:r w:rsidRPr="00D04496">
        <w:rPr>
          <w:rFonts w:ascii="Calibri" w:eastAsia="Times New Roman" w:hAnsi="Calibri" w:cs="Times New Roman"/>
          <w:i/>
          <w:iCs/>
          <w:color w:val="212121"/>
          <w:lang w:eastAsia="en-IN"/>
        </w:rPr>
        <w:t>(we need to do this because 24 hour timeframe for level 1 to handle)</w:t>
      </w:r>
      <w:r w:rsidR="00D04496" w:rsidRPr="00D04496">
        <w:rPr>
          <w:rFonts w:ascii="Calibri" w:eastAsia="Times New Roman" w:hAnsi="Calibri" w:cs="Times New Roman"/>
          <w:i/>
          <w:iCs/>
          <w:color w:val="212121"/>
          <w:lang w:eastAsia="en-IN"/>
        </w:rPr>
        <w:t>. Bots can be configured to raise errors or warnings based on standard Intelligent Automation Platform (Kapow, other platforms)</w:t>
      </w:r>
      <w:r w:rsidR="00D04496">
        <w:rPr>
          <w:rFonts w:ascii="Calibri" w:eastAsia="Times New Roman" w:hAnsi="Calibri" w:cs="Times New Roman"/>
          <w:i/>
          <w:iCs/>
          <w:color w:val="212121"/>
          <w:lang w:eastAsia="en-IN"/>
        </w:rPr>
        <w:t xml:space="preserve"> error handling </w:t>
      </w:r>
      <w:r w:rsidR="00D04496" w:rsidRPr="00D04496">
        <w:rPr>
          <w:rFonts w:ascii="Calibri" w:eastAsia="Times New Roman" w:hAnsi="Calibri" w:cs="Times New Roman"/>
          <w:i/>
          <w:iCs/>
          <w:color w:val="212121"/>
          <w:lang w:eastAsia="en-IN"/>
        </w:rPr>
        <w:t>capabilities.</w:t>
      </w:r>
    </w:p>
    <w:p w:rsidR="00D04496" w:rsidRDefault="00D04496" w:rsidP="0013130B">
      <w:pPr>
        <w:shd w:val="clear" w:color="auto" w:fill="FFFFFF"/>
        <w:spacing w:after="0" w:line="240" w:lineRule="auto"/>
        <w:rPr>
          <w:rFonts w:ascii="Calibri" w:eastAsia="Times New Roman" w:hAnsi="Calibri" w:cs="Times New Roman"/>
          <w:color w:val="212121"/>
          <w:lang w:eastAsia="en-IN"/>
        </w:rPr>
      </w:pPr>
    </w:p>
    <w:p w:rsidR="0013130B" w:rsidRPr="00AB2182" w:rsidRDefault="0013130B" w:rsidP="0013130B">
      <w:pPr>
        <w:shd w:val="clear" w:color="auto" w:fill="FFFFFF"/>
        <w:spacing w:after="0" w:line="240" w:lineRule="auto"/>
        <w:rPr>
          <w:rFonts w:ascii="Calibri" w:eastAsia="Times New Roman" w:hAnsi="Calibri" w:cs="Times New Roman"/>
          <w:color w:val="212121"/>
          <w:lang w:eastAsia="en-IN"/>
        </w:rPr>
      </w:pPr>
      <w:r>
        <w:rPr>
          <w:rFonts w:ascii="Calibri" w:eastAsia="Times New Roman" w:hAnsi="Calibri" w:cs="Times New Roman"/>
          <w:color w:val="212121"/>
          <w:lang w:eastAsia="en-IN"/>
        </w:rPr>
        <w:t>L2 Support will follow the following steps based on Knowledge Base and additional process specific information available to L2 Support specific to the Automated Process:</w:t>
      </w:r>
    </w:p>
    <w:p w:rsidR="0013130B" w:rsidRPr="00AB2182" w:rsidRDefault="0013130B" w:rsidP="0013130B">
      <w:pPr>
        <w:shd w:val="clear" w:color="auto" w:fill="FFFFFF"/>
        <w:spacing w:after="0" w:line="240" w:lineRule="auto"/>
        <w:rPr>
          <w:rFonts w:ascii="Calibri" w:eastAsia="Times New Roman" w:hAnsi="Calibri" w:cs="Times New Roman"/>
          <w:color w:val="212121"/>
          <w:lang w:eastAsia="en-IN"/>
        </w:rPr>
      </w:pPr>
    </w:p>
    <w:p w:rsidR="0013130B" w:rsidRPr="00AB2182" w:rsidRDefault="0013130B"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sidRPr="00AB2182">
        <w:rPr>
          <w:rFonts w:ascii="Calibri" w:eastAsia="Times New Roman" w:hAnsi="Calibri" w:cs="Segoe UI"/>
          <w:color w:val="212121"/>
          <w:lang w:eastAsia="en-IN"/>
        </w:rPr>
        <w:t>Step 1 – Automation COE confirms not operational issue</w:t>
      </w:r>
      <w:r>
        <w:rPr>
          <w:rFonts w:ascii="Calibri" w:eastAsia="Times New Roman" w:hAnsi="Calibri" w:cs="Segoe UI"/>
          <w:color w:val="212121"/>
          <w:lang w:eastAsia="en-IN"/>
        </w:rPr>
        <w:t>/business issue</w:t>
      </w:r>
      <w:r w:rsidRPr="00AB2182">
        <w:rPr>
          <w:rFonts w:ascii="Calibri" w:eastAsia="Times New Roman" w:hAnsi="Calibri" w:cs="Segoe UI"/>
          <w:color w:val="212121"/>
          <w:lang w:eastAsia="en-IN"/>
        </w:rPr>
        <w:t xml:space="preserve"> (e.g. no volume came in)</w:t>
      </w:r>
    </w:p>
    <w:p w:rsidR="0013130B" w:rsidRPr="00AB2182" w:rsidRDefault="0013130B"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sidRPr="00AB2182">
        <w:rPr>
          <w:rFonts w:ascii="Calibri" w:eastAsia="Times New Roman" w:hAnsi="Calibri" w:cs="Segoe UI"/>
          <w:color w:val="212121"/>
          <w:lang w:eastAsia="en-IN"/>
        </w:rPr>
        <w:t>Step 2 – Automation COE checks “not “A”  (If Kapow Down, raise ticket so Service Desk knows)</w:t>
      </w:r>
    </w:p>
    <w:p w:rsidR="0013130B" w:rsidRPr="00AB2182" w:rsidRDefault="0013130B" w:rsidP="0013130B">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sidRPr="00AB2182">
        <w:rPr>
          <w:rFonts w:ascii="Calibri" w:eastAsia="Times New Roman" w:hAnsi="Calibri" w:cs="Segoe UI"/>
          <w:color w:val="212121"/>
          <w:lang w:eastAsia="en-IN"/>
        </w:rPr>
        <w:t>Step 3 –  Automation COE checks “not D” – (If system down, raise sev 1 ticket to Service Desk)</w:t>
      </w:r>
    </w:p>
    <w:p w:rsidR="001D7C94" w:rsidRDefault="001D7C94" w:rsidP="001D7C94">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Step q -  .  .  .</w:t>
      </w:r>
    </w:p>
    <w:p w:rsidR="001D7C94" w:rsidRDefault="001D7C94" w:rsidP="001D7C94">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Step r -   .  .  .</w:t>
      </w:r>
    </w:p>
    <w:p w:rsidR="001D7C94" w:rsidRDefault="001D7C94" w:rsidP="001D7C94">
      <w:pPr>
        <w:pStyle w:val="ListParagraph"/>
        <w:numPr>
          <w:ilvl w:val="0"/>
          <w:numId w:val="28"/>
        </w:numPr>
        <w:shd w:val="clear" w:color="auto" w:fill="FFFFFF"/>
        <w:spacing w:after="0" w:line="240" w:lineRule="auto"/>
        <w:rPr>
          <w:rFonts w:ascii="Calibri" w:eastAsia="Times New Roman" w:hAnsi="Calibri" w:cs="Segoe UI"/>
          <w:color w:val="212121"/>
          <w:lang w:eastAsia="en-IN"/>
        </w:rPr>
      </w:pPr>
    </w:p>
    <w:p w:rsidR="001D7C94" w:rsidRPr="0013130B" w:rsidRDefault="001D7C94" w:rsidP="001D7C94">
      <w:pPr>
        <w:pStyle w:val="ListParagraph"/>
        <w:numPr>
          <w:ilvl w:val="0"/>
          <w:numId w:val="28"/>
        </w:numPr>
        <w:shd w:val="clear" w:color="auto" w:fill="FFFFFF"/>
        <w:spacing w:after="0" w:line="240" w:lineRule="auto"/>
        <w:rPr>
          <w:rFonts w:ascii="Calibri" w:eastAsia="Times New Roman" w:hAnsi="Calibri" w:cs="Segoe UI"/>
          <w:color w:val="212121"/>
          <w:lang w:eastAsia="en-IN"/>
        </w:rPr>
      </w:pPr>
      <w:r>
        <w:rPr>
          <w:rFonts w:ascii="Calibri" w:eastAsia="Times New Roman" w:hAnsi="Calibri" w:cs="Segoe UI"/>
          <w:color w:val="212121"/>
          <w:lang w:eastAsia="en-IN"/>
        </w:rPr>
        <w:t>Step n</w:t>
      </w:r>
      <w:r w:rsidRPr="0013130B">
        <w:rPr>
          <w:rFonts w:ascii="Calibri" w:eastAsia="Times New Roman" w:hAnsi="Calibri" w:cs="Segoe UI"/>
          <w:color w:val="212121"/>
          <w:lang w:eastAsia="en-IN"/>
        </w:rPr>
        <w:t xml:space="preserve">– </w:t>
      </w:r>
      <w:r>
        <w:rPr>
          <w:rFonts w:ascii="Calibri" w:eastAsia="Times New Roman" w:hAnsi="Calibri" w:cs="Segoe UI"/>
          <w:color w:val="212121"/>
          <w:lang w:eastAsia="en-IN"/>
        </w:rPr>
        <w:t xml:space="preserve"> Automation COE </w:t>
      </w:r>
      <w:r w:rsidRPr="0013130B">
        <w:rPr>
          <w:rFonts w:ascii="Calibri" w:eastAsia="Times New Roman" w:hAnsi="Calibri" w:cs="Segoe UI"/>
          <w:color w:val="212121"/>
          <w:lang w:eastAsia="en-IN"/>
        </w:rPr>
        <w:t xml:space="preserve">transfers ticket to </w:t>
      </w:r>
      <w:r>
        <w:rPr>
          <w:rFonts w:ascii="Calibri" w:eastAsia="Times New Roman" w:hAnsi="Calibri" w:cs="Segoe UI"/>
          <w:color w:val="212121"/>
          <w:lang w:eastAsia="en-IN"/>
        </w:rPr>
        <w:t>Application Owner</w:t>
      </w:r>
      <w:r w:rsidRPr="0013130B">
        <w:rPr>
          <w:rFonts w:ascii="Calibri" w:eastAsia="Times New Roman" w:hAnsi="Calibri" w:cs="Segoe UI"/>
          <w:color w:val="212121"/>
          <w:lang w:eastAsia="en-IN"/>
        </w:rPr>
        <w:t xml:space="preserve"> queue (L</w:t>
      </w:r>
      <w:r>
        <w:rPr>
          <w:rFonts w:ascii="Calibri" w:eastAsia="Times New Roman" w:hAnsi="Calibri" w:cs="Segoe UI"/>
          <w:color w:val="212121"/>
          <w:lang w:eastAsia="en-IN"/>
        </w:rPr>
        <w:t>3</w:t>
      </w:r>
      <w:r w:rsidRPr="0013130B">
        <w:rPr>
          <w:rFonts w:ascii="Calibri" w:eastAsia="Times New Roman" w:hAnsi="Calibri" w:cs="Segoe UI"/>
          <w:color w:val="212121"/>
          <w:lang w:eastAsia="en-IN"/>
        </w:rPr>
        <w:t xml:space="preserve"> Support)</w:t>
      </w:r>
    </w:p>
    <w:p w:rsidR="00470BFE" w:rsidRPr="00AB2182" w:rsidRDefault="00470BFE" w:rsidP="00470BFE">
      <w:pPr>
        <w:shd w:val="clear" w:color="auto" w:fill="FFFFFF"/>
        <w:spacing w:after="0" w:line="240" w:lineRule="auto"/>
        <w:rPr>
          <w:rFonts w:ascii="Calibri" w:eastAsia="Times New Roman" w:hAnsi="Calibri" w:cs="Times New Roman"/>
          <w:color w:val="212121"/>
          <w:lang w:eastAsia="en-IN"/>
        </w:rPr>
      </w:pPr>
      <w:r w:rsidRPr="00AB2182">
        <w:rPr>
          <w:rFonts w:ascii="Calibri" w:eastAsia="Times New Roman" w:hAnsi="Calibri" w:cs="Times New Roman"/>
          <w:color w:val="212121"/>
          <w:lang w:eastAsia="en-IN"/>
        </w:rPr>
        <w:t> </w:t>
      </w:r>
    </w:p>
    <w:p w:rsidR="00470BFE" w:rsidRDefault="00470BFE" w:rsidP="00470BFE"/>
    <w:p w:rsidR="00CC4727" w:rsidRDefault="00CC4727" w:rsidP="00470BFE"/>
    <w:p w:rsidR="0006474E" w:rsidRDefault="0006474E" w:rsidP="00470BFE"/>
    <w:p w:rsidR="0006474E" w:rsidRDefault="0006474E" w:rsidP="0006474E">
      <w:pPr>
        <w:pStyle w:val="Heading1"/>
      </w:pPr>
      <w:bookmarkStart w:id="20" w:name="_Toc530099257"/>
      <w:r>
        <w:lastRenderedPageBreak/>
        <w:t xml:space="preserve">Support Request (SR) </w:t>
      </w:r>
      <w:r w:rsidR="00AA60DA">
        <w:t xml:space="preserve">Initiation &amp; </w:t>
      </w:r>
      <w:r>
        <w:t>Resolution Process:</w:t>
      </w:r>
      <w:bookmarkEnd w:id="20"/>
    </w:p>
    <w:p w:rsidR="00434B0B" w:rsidRDefault="00434B0B" w:rsidP="00434B0B"/>
    <w:p w:rsidR="00983649" w:rsidRPr="00434B0B" w:rsidRDefault="00983649" w:rsidP="00434B0B">
      <w:r>
        <w:t>All Support Requests shall follow following process to ensure systematic resolution as has been describe in this document.  As a matter of good practice reference materials such as Knowledge Base (KB) shall be kept up to date for support teams to provide quick and relevant assistance to address business user and bot issues.</w:t>
      </w:r>
    </w:p>
    <w:p w:rsidR="00CC4727" w:rsidRPr="00470BFE" w:rsidRDefault="00CC4727" w:rsidP="007274E0">
      <w:pPr>
        <w:ind w:left="-709"/>
      </w:pPr>
      <w:r w:rsidRPr="00CC4727">
        <w:rPr>
          <w:noProof/>
          <w:lang w:val="en-US"/>
        </w:rPr>
        <w:drawing>
          <wp:inline distT="0" distB="0" distL="0" distR="0">
            <wp:extent cx="6569098" cy="7048500"/>
            <wp:effectExtent l="0" t="0" r="0" b="0"/>
            <wp:docPr id="3" name="Picture 3" descr="C:\Users\shubhen.sarangi\Documents\Nov 2017 onward\1. Opps\Ryder\1. Project\Pencil\Sup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en.sarangi\Documents\Nov 2017 onward\1. Opps\Ryder\1. Project\Pencil\Support (1).png"/>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83" t="1957" r="2298" b="1433"/>
                    <a:stretch/>
                  </pic:blipFill>
                  <pic:spPr bwMode="auto">
                    <a:xfrm>
                      <a:off x="0" y="0"/>
                      <a:ext cx="6590410" cy="707136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941F5" w:rsidRPr="00BA7C74" w:rsidRDefault="008941F5" w:rsidP="008941F5">
      <w:pPr>
        <w:pStyle w:val="Heading1"/>
      </w:pPr>
      <w:bookmarkStart w:id="21" w:name="_Toc528087080"/>
      <w:bookmarkStart w:id="22" w:name="_Toc530099258"/>
      <w:bookmarkStart w:id="23" w:name="_Toc528087078"/>
      <w:r>
        <w:lastRenderedPageBreak/>
        <w:t xml:space="preserve">Post Resolution Review </w:t>
      </w:r>
      <w:bookmarkEnd w:id="21"/>
      <w:r>
        <w:t>&amp; Communication</w:t>
      </w:r>
      <w:bookmarkEnd w:id="22"/>
    </w:p>
    <w:p w:rsidR="008941F5" w:rsidRDefault="008941F5" w:rsidP="008941F5">
      <w:r>
        <w:t xml:space="preserve">The Intelligent Automation COE is responsible for communicating the status of each change request to all stakeholders.  This enables Business Process Owners, Support Team, COE IT teams and </w:t>
      </w:r>
      <w:r w:rsidR="00DF44FF">
        <w:t>&lt;Company&gt;</w:t>
      </w:r>
      <w:r>
        <w:t xml:space="preserve"> IT teams to plan accordingly and eases the integration of the change.  All Knowledge Base information should be updated as part of the resolution by the COE.  </w:t>
      </w:r>
    </w:p>
    <w:p w:rsidR="008941F5" w:rsidRDefault="008941F5" w:rsidP="008941F5">
      <w:r>
        <w:t xml:space="preserve">Whenever IT Change Process is involved in the resolution, the IT Change Manager, Director COE or and Intelligent Automation Application Owner conduct a review of the Change Management process and </w:t>
      </w:r>
      <w:r w:rsidRPr="00303F1A">
        <w:t>the results of the Change-implementation</w:t>
      </w:r>
      <w:r>
        <w:t>.  This is logged in the Change Register or Incident Management Tool</w:t>
      </w:r>
      <w:r w:rsidRPr="00303F1A">
        <w:t xml:space="preserve">, </w:t>
      </w:r>
      <w:r>
        <w:t xml:space="preserve">and provides a reference for best-practices </w:t>
      </w:r>
      <w:r w:rsidRPr="00303F1A">
        <w:t xml:space="preserve">and lessons </w:t>
      </w:r>
      <w:r>
        <w:t xml:space="preserve">that </w:t>
      </w:r>
      <w:r w:rsidRPr="00303F1A">
        <w:t xml:space="preserve">may be learnt </w:t>
      </w:r>
      <w:r>
        <w:t>for improving handling of future changes</w:t>
      </w:r>
      <w:r w:rsidRPr="00303F1A">
        <w:t>.</w:t>
      </w:r>
    </w:p>
    <w:p w:rsidR="008941F5" w:rsidRDefault="008941F5">
      <w:pPr>
        <w:rPr>
          <w:rFonts w:asciiTheme="majorHAnsi" w:eastAsiaTheme="majorEastAsia" w:hAnsiTheme="majorHAnsi" w:cstheme="majorBidi"/>
          <w:color w:val="1F4E79" w:themeColor="accent1" w:themeShade="80"/>
          <w:sz w:val="36"/>
          <w:szCs w:val="36"/>
        </w:rPr>
      </w:pPr>
      <w:r>
        <w:br w:type="page"/>
      </w:r>
    </w:p>
    <w:p w:rsidR="006E6575" w:rsidRDefault="008941F5" w:rsidP="004F0DE7">
      <w:pPr>
        <w:pStyle w:val="Heading1"/>
      </w:pPr>
      <w:bookmarkStart w:id="24" w:name="_Toc530099259"/>
      <w:r>
        <w:lastRenderedPageBreak/>
        <w:t>A</w:t>
      </w:r>
      <w:r w:rsidR="00E15A5C">
        <w:t xml:space="preserve">ppendix A: </w:t>
      </w:r>
      <w:r w:rsidR="006E79F9">
        <w:t>Classification</w:t>
      </w:r>
      <w:r w:rsidR="00F931C9">
        <w:t xml:space="preserve"> of </w:t>
      </w:r>
      <w:bookmarkEnd w:id="23"/>
      <w:r w:rsidR="008C67D6">
        <w:t>Support Requests</w:t>
      </w:r>
      <w:bookmarkEnd w:id="24"/>
    </w:p>
    <w:p w:rsidR="00AB7CE1" w:rsidRDefault="00AB7CE1" w:rsidP="00FA51BA"/>
    <w:p w:rsidR="00AB7CE1" w:rsidRDefault="00FA51BA" w:rsidP="00FA51BA">
      <w:r>
        <w:t xml:space="preserve">To keep </w:t>
      </w:r>
      <w:r w:rsidR="00AB7CE1">
        <w:t xml:space="preserve">the support process simple and aligned to </w:t>
      </w:r>
      <w:r w:rsidR="00DF44FF">
        <w:t>&lt;Company&gt;</w:t>
      </w:r>
      <w:r w:rsidR="00AB7CE1">
        <w:t>’s support practices a simple classification of support requests (SR) should be followed from SR initiation:</w:t>
      </w:r>
    </w:p>
    <w:p w:rsidR="00983649" w:rsidRDefault="00983649" w:rsidP="00FA51BA"/>
    <w:tbl>
      <w:tblPr>
        <w:tblW w:w="8505" w:type="dxa"/>
        <w:tblInd w:w="137" w:type="dxa"/>
        <w:tblBorders>
          <w:top w:val="nil"/>
          <w:left w:val="nil"/>
          <w:bottom w:val="nil"/>
          <w:right w:val="nil"/>
        </w:tblBorders>
        <w:tblLayout w:type="fixed"/>
        <w:tblLook w:val="0000"/>
      </w:tblPr>
      <w:tblGrid>
        <w:gridCol w:w="1701"/>
        <w:gridCol w:w="1701"/>
        <w:gridCol w:w="5103"/>
      </w:tblGrid>
      <w:tr w:rsidR="004D2A5D" w:rsidRPr="00E10B3D" w:rsidTr="00252CBD">
        <w:trPr>
          <w:trHeight w:val="338"/>
        </w:trPr>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asciiTheme="majorHAnsi" w:hAnsiTheme="majorHAnsi" w:cs="Book Antiqua"/>
                <w:color w:val="000000"/>
                <w:sz w:val="20"/>
                <w:szCs w:val="20"/>
              </w:rPr>
            </w:pPr>
            <w:r w:rsidRPr="004D2A5D">
              <w:rPr>
                <w:rFonts w:asciiTheme="majorHAnsi" w:hAnsiTheme="majorHAnsi" w:cs="Book Antiqua"/>
                <w:bCs/>
                <w:color w:val="000000"/>
                <w:sz w:val="20"/>
                <w:szCs w:val="20"/>
              </w:rPr>
              <w:t xml:space="preserve">Risk Assessment </w:t>
            </w:r>
          </w:p>
        </w:tc>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asciiTheme="majorHAnsi" w:hAnsiTheme="majorHAnsi" w:cs="Book Antiqua"/>
                <w:color w:val="000000"/>
                <w:sz w:val="20"/>
                <w:szCs w:val="20"/>
              </w:rPr>
            </w:pPr>
            <w:r w:rsidRPr="004D2A5D">
              <w:rPr>
                <w:rFonts w:asciiTheme="majorHAnsi" w:hAnsiTheme="majorHAnsi" w:cs="Book Antiqua"/>
                <w:bCs/>
                <w:color w:val="000000"/>
                <w:sz w:val="20"/>
                <w:szCs w:val="20"/>
              </w:rPr>
              <w:t xml:space="preserve">Severity Level </w:t>
            </w:r>
          </w:p>
        </w:tc>
        <w:tc>
          <w:tcPr>
            <w:tcW w:w="5103"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asciiTheme="majorHAnsi" w:hAnsiTheme="majorHAnsi" w:cs="Book Antiqua"/>
                <w:bCs/>
                <w:color w:val="000000"/>
                <w:sz w:val="20"/>
                <w:szCs w:val="20"/>
              </w:rPr>
            </w:pPr>
            <w:r w:rsidRPr="004D2A5D">
              <w:rPr>
                <w:rFonts w:asciiTheme="majorHAnsi" w:hAnsiTheme="majorHAnsi" w:cs="Book Antiqua"/>
                <w:bCs/>
                <w:color w:val="000000"/>
                <w:sz w:val="20"/>
                <w:szCs w:val="20"/>
              </w:rPr>
              <w:t>Impacts</w:t>
            </w:r>
          </w:p>
        </w:tc>
      </w:tr>
      <w:tr w:rsidR="004D2A5D" w:rsidRPr="00E10B3D" w:rsidTr="00252CBD">
        <w:trPr>
          <w:trHeight w:val="426"/>
        </w:trPr>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Minor </w:t>
            </w:r>
          </w:p>
        </w:tc>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4 </w:t>
            </w:r>
          </w:p>
        </w:tc>
        <w:tc>
          <w:tcPr>
            <w:tcW w:w="5103" w:type="dxa"/>
            <w:tcBorders>
              <w:top w:val="single" w:sz="4" w:space="0" w:color="auto"/>
              <w:left w:val="single" w:sz="4" w:space="0" w:color="auto"/>
              <w:bottom w:val="single" w:sz="4" w:space="0" w:color="auto"/>
              <w:right w:val="single" w:sz="4" w:space="0" w:color="auto"/>
            </w:tcBorders>
          </w:tcPr>
          <w:p w:rsidR="004D2A5D" w:rsidRP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Nil to Minor impact on business outcomes</w:t>
            </w:r>
            <w:r>
              <w:rPr>
                <w:rFonts w:cs="Book Antiqua"/>
                <w:color w:val="000000"/>
                <w:sz w:val="20"/>
                <w:szCs w:val="20"/>
              </w:rPr>
              <w:t xml:space="preserve"> (e.g., &lt; $10,000)</w:t>
            </w:r>
            <w:r w:rsidRPr="004D2A5D">
              <w:rPr>
                <w:rFonts w:cs="Book Antiqua"/>
                <w:color w:val="000000"/>
                <w:sz w:val="20"/>
                <w:szCs w:val="20"/>
              </w:rPr>
              <w:t xml:space="preserve"> </w:t>
            </w:r>
          </w:p>
          <w:p w:rsidR="004D2A5D" w:rsidRP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 xml:space="preserve">Workaround exists or volume can be handled by manual processing; </w:t>
            </w:r>
          </w:p>
          <w:p w:rsidR="004D2A5D" w:rsidRP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Can wait for 6 months for issue to be addressed</w:t>
            </w:r>
          </w:p>
        </w:tc>
      </w:tr>
      <w:tr w:rsidR="004D2A5D" w:rsidRPr="00E10B3D" w:rsidTr="00252CBD">
        <w:trPr>
          <w:trHeight w:val="226"/>
        </w:trPr>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Medium </w:t>
            </w:r>
          </w:p>
        </w:tc>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3 </w:t>
            </w:r>
          </w:p>
        </w:tc>
        <w:tc>
          <w:tcPr>
            <w:tcW w:w="5103" w:type="dxa"/>
            <w:tcBorders>
              <w:top w:val="single" w:sz="4" w:space="0" w:color="auto"/>
              <w:left w:val="single" w:sz="4" w:space="0" w:color="auto"/>
              <w:bottom w:val="single" w:sz="4" w:space="0" w:color="auto"/>
              <w:right w:val="single" w:sz="4" w:space="0" w:color="auto"/>
            </w:tcBorders>
          </w:tcPr>
          <w:p w:rsid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 xml:space="preserve">Visible impact on business </w:t>
            </w:r>
            <w:r>
              <w:rPr>
                <w:rFonts w:cs="Book Antiqua"/>
                <w:color w:val="000000"/>
                <w:sz w:val="20"/>
                <w:szCs w:val="20"/>
              </w:rPr>
              <w:t xml:space="preserve">outcomes (e.g,  &gt; $10,000 &amp; &lt; $50,000) </w:t>
            </w:r>
          </w:p>
          <w:p w:rsidR="004D2A5D" w:rsidRP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Workaround exists or volume can be handled by manual processing</w:t>
            </w:r>
          </w:p>
          <w:p w:rsidR="004D2A5D" w:rsidRP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Can wait for 3 months for issue to be addressed</w:t>
            </w:r>
          </w:p>
        </w:tc>
      </w:tr>
      <w:tr w:rsidR="004D2A5D" w:rsidRPr="00E10B3D" w:rsidTr="00252CBD">
        <w:trPr>
          <w:trHeight w:val="348"/>
        </w:trPr>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Major </w:t>
            </w:r>
          </w:p>
        </w:tc>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2 </w:t>
            </w:r>
          </w:p>
        </w:tc>
        <w:tc>
          <w:tcPr>
            <w:tcW w:w="5103" w:type="dxa"/>
            <w:tcBorders>
              <w:top w:val="single" w:sz="4" w:space="0" w:color="auto"/>
              <w:left w:val="single" w:sz="4" w:space="0" w:color="auto"/>
              <w:bottom w:val="single" w:sz="4" w:space="0" w:color="auto"/>
              <w:right w:val="single" w:sz="4" w:space="0" w:color="auto"/>
            </w:tcBorders>
          </w:tcPr>
          <w:p w:rsid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Pr>
                <w:rFonts w:cs="Book Antiqua"/>
                <w:color w:val="000000"/>
                <w:sz w:val="20"/>
                <w:szCs w:val="20"/>
              </w:rPr>
              <w:t>Considerable</w:t>
            </w:r>
            <w:r w:rsidRPr="004D2A5D">
              <w:rPr>
                <w:rFonts w:cs="Book Antiqua"/>
                <w:color w:val="000000"/>
                <w:sz w:val="20"/>
                <w:szCs w:val="20"/>
              </w:rPr>
              <w:t xml:space="preserve"> impact on business </w:t>
            </w:r>
            <w:r>
              <w:rPr>
                <w:rFonts w:cs="Book Antiqua"/>
                <w:color w:val="000000"/>
                <w:sz w:val="20"/>
                <w:szCs w:val="20"/>
              </w:rPr>
              <w:t>outcomes (e.g,  &gt; $50,000 &amp; &lt; $1,000,000</w:t>
            </w:r>
            <w:r w:rsidR="00D64E8D">
              <w:rPr>
                <w:rFonts w:cs="Book Antiqua"/>
                <w:color w:val="000000"/>
                <w:sz w:val="20"/>
                <w:szCs w:val="20"/>
              </w:rPr>
              <w:t xml:space="preserve"> or other major unacceptable business impacts)</w:t>
            </w:r>
          </w:p>
          <w:p w:rsid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 xml:space="preserve">Workaround </w:t>
            </w:r>
            <w:r>
              <w:rPr>
                <w:rFonts w:cs="Book Antiqua"/>
                <w:color w:val="000000"/>
                <w:sz w:val="20"/>
                <w:szCs w:val="20"/>
              </w:rPr>
              <w:t>not acceptable</w:t>
            </w:r>
            <w:r w:rsidRPr="004D2A5D">
              <w:rPr>
                <w:rFonts w:cs="Book Antiqua"/>
                <w:color w:val="000000"/>
                <w:sz w:val="20"/>
                <w:szCs w:val="20"/>
              </w:rPr>
              <w:t xml:space="preserve"> or volume </w:t>
            </w:r>
            <w:r>
              <w:rPr>
                <w:rFonts w:cs="Book Antiqua"/>
                <w:color w:val="000000"/>
                <w:sz w:val="20"/>
                <w:szCs w:val="20"/>
              </w:rPr>
              <w:t xml:space="preserve">cannot </w:t>
            </w:r>
            <w:r w:rsidRPr="004D2A5D">
              <w:rPr>
                <w:rFonts w:cs="Book Antiqua"/>
                <w:color w:val="000000"/>
                <w:sz w:val="20"/>
                <w:szCs w:val="20"/>
              </w:rPr>
              <w:t>be handled</w:t>
            </w:r>
            <w:r w:rsidR="00D64E8D">
              <w:rPr>
                <w:rFonts w:cs="Book Antiqua"/>
                <w:color w:val="000000"/>
                <w:sz w:val="20"/>
                <w:szCs w:val="20"/>
              </w:rPr>
              <w:t xml:space="preserve"> completely</w:t>
            </w:r>
            <w:r w:rsidRPr="004D2A5D">
              <w:rPr>
                <w:rFonts w:cs="Book Antiqua"/>
                <w:color w:val="000000"/>
                <w:sz w:val="20"/>
                <w:szCs w:val="20"/>
              </w:rPr>
              <w:t xml:space="preserve"> by manual processing</w:t>
            </w:r>
          </w:p>
          <w:p w:rsidR="004D2A5D" w:rsidRPr="004D2A5D" w:rsidRDefault="004D2A5D" w:rsidP="004D2A5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Can wait for 7 days for issue to be addressed</w:t>
            </w:r>
          </w:p>
        </w:tc>
      </w:tr>
      <w:tr w:rsidR="004D2A5D" w:rsidRPr="00E10B3D" w:rsidTr="00252CBD">
        <w:trPr>
          <w:trHeight w:val="348"/>
        </w:trPr>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Critical </w:t>
            </w:r>
          </w:p>
        </w:tc>
        <w:tc>
          <w:tcPr>
            <w:tcW w:w="1701" w:type="dxa"/>
            <w:tcBorders>
              <w:top w:val="single" w:sz="4" w:space="0" w:color="auto"/>
              <w:left w:val="single" w:sz="4" w:space="0" w:color="auto"/>
              <w:bottom w:val="single" w:sz="4" w:space="0" w:color="auto"/>
              <w:right w:val="single" w:sz="4" w:space="0" w:color="auto"/>
            </w:tcBorders>
          </w:tcPr>
          <w:p w:rsidR="004D2A5D" w:rsidRPr="004D2A5D" w:rsidRDefault="004D2A5D" w:rsidP="00E10B3D">
            <w:pPr>
              <w:autoSpaceDE w:val="0"/>
              <w:autoSpaceDN w:val="0"/>
              <w:adjustRightInd w:val="0"/>
              <w:spacing w:after="0" w:line="240" w:lineRule="auto"/>
              <w:ind w:left="137"/>
              <w:rPr>
                <w:rFonts w:cs="Book Antiqua"/>
                <w:color w:val="000000"/>
                <w:sz w:val="20"/>
                <w:szCs w:val="20"/>
              </w:rPr>
            </w:pPr>
            <w:r w:rsidRPr="004D2A5D">
              <w:rPr>
                <w:rFonts w:cs="Book Antiqua"/>
                <w:color w:val="000000"/>
                <w:sz w:val="20"/>
                <w:szCs w:val="20"/>
              </w:rPr>
              <w:t xml:space="preserve">1 </w:t>
            </w:r>
          </w:p>
        </w:tc>
        <w:tc>
          <w:tcPr>
            <w:tcW w:w="5103" w:type="dxa"/>
            <w:tcBorders>
              <w:top w:val="single" w:sz="4" w:space="0" w:color="auto"/>
              <w:left w:val="single" w:sz="4" w:space="0" w:color="auto"/>
              <w:bottom w:val="single" w:sz="4" w:space="0" w:color="auto"/>
              <w:right w:val="single" w:sz="4" w:space="0" w:color="auto"/>
            </w:tcBorders>
          </w:tcPr>
          <w:p w:rsidR="004D2A5D" w:rsidRPr="004D2A5D" w:rsidRDefault="004D2A5D" w:rsidP="00D64E8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4D2A5D">
              <w:rPr>
                <w:rFonts w:cs="Book Antiqua"/>
                <w:color w:val="000000"/>
                <w:sz w:val="20"/>
                <w:szCs w:val="20"/>
              </w:rPr>
              <w:t>Major impact on operations – impacts multiple customers or key customer account</w:t>
            </w:r>
            <w:r w:rsidR="00D64E8D">
              <w:rPr>
                <w:rFonts w:cs="Book Antiqua"/>
                <w:color w:val="000000"/>
                <w:sz w:val="20"/>
                <w:szCs w:val="20"/>
              </w:rPr>
              <w:t xml:space="preserve"> (e.g., &gt; $1,000,000, other unacceptable business impact such as compliance etc.)</w:t>
            </w:r>
          </w:p>
          <w:p w:rsidR="004D2A5D" w:rsidRPr="00D64E8D" w:rsidRDefault="004D2A5D" w:rsidP="00D64E8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D64E8D">
              <w:rPr>
                <w:rFonts w:cs="Book Antiqua"/>
                <w:color w:val="000000"/>
                <w:sz w:val="20"/>
                <w:szCs w:val="20"/>
              </w:rPr>
              <w:t>Workaround does not exist</w:t>
            </w:r>
            <w:r w:rsidR="00D64E8D">
              <w:rPr>
                <w:rFonts w:cs="Book Antiqua"/>
                <w:color w:val="000000"/>
                <w:sz w:val="20"/>
                <w:szCs w:val="20"/>
              </w:rPr>
              <w:t>; No other way to take forward operations</w:t>
            </w:r>
          </w:p>
          <w:p w:rsidR="004D2A5D" w:rsidRPr="00D64E8D" w:rsidRDefault="004D2A5D" w:rsidP="00D64E8D">
            <w:pPr>
              <w:pStyle w:val="ListParagraph"/>
              <w:numPr>
                <w:ilvl w:val="0"/>
                <w:numId w:val="30"/>
              </w:numPr>
              <w:autoSpaceDE w:val="0"/>
              <w:autoSpaceDN w:val="0"/>
              <w:adjustRightInd w:val="0"/>
              <w:spacing w:after="0" w:line="240" w:lineRule="auto"/>
              <w:ind w:left="175" w:hanging="175"/>
              <w:rPr>
                <w:rFonts w:cs="Book Antiqua"/>
                <w:color w:val="000000"/>
                <w:sz w:val="20"/>
                <w:szCs w:val="20"/>
              </w:rPr>
            </w:pPr>
            <w:r w:rsidRPr="00D64E8D">
              <w:rPr>
                <w:rFonts w:cs="Book Antiqua"/>
                <w:color w:val="000000"/>
                <w:sz w:val="20"/>
                <w:szCs w:val="20"/>
              </w:rPr>
              <w:t>Cannot wait for more than a day to address issue</w:t>
            </w:r>
          </w:p>
        </w:tc>
      </w:tr>
    </w:tbl>
    <w:p w:rsidR="00983649" w:rsidRDefault="00983649" w:rsidP="00FA51BA"/>
    <w:p w:rsidR="00983649" w:rsidRDefault="00983649" w:rsidP="00FA51BA">
      <w:r>
        <w:t xml:space="preserve">Please refer to detailed </w:t>
      </w:r>
      <w:r w:rsidR="00DF44FF">
        <w:t>&lt;Company&gt;</w:t>
      </w:r>
      <w:r>
        <w:t xml:space="preserve"> severity classification guidelines for additional information on severity levels.</w:t>
      </w:r>
    </w:p>
    <w:p w:rsidR="00FA51BA" w:rsidRDefault="00FA51BA" w:rsidP="00FA51BA"/>
    <w:p w:rsidR="00D04383" w:rsidRDefault="00D04383">
      <w:r>
        <w:br w:type="page"/>
      </w:r>
    </w:p>
    <w:p w:rsidR="00006CA2" w:rsidRDefault="00E15A5C" w:rsidP="00685E73">
      <w:pPr>
        <w:pStyle w:val="Heading1"/>
      </w:pPr>
      <w:bookmarkStart w:id="25" w:name="_Toc528087083"/>
      <w:bookmarkStart w:id="26" w:name="_Toc530099260"/>
      <w:r>
        <w:lastRenderedPageBreak/>
        <w:t>Appendix B</w:t>
      </w:r>
      <w:r w:rsidR="00600277">
        <w:t xml:space="preserve">: </w:t>
      </w:r>
      <w:bookmarkEnd w:id="25"/>
      <w:r w:rsidR="00600277">
        <w:t>Intelligent Automation</w:t>
      </w:r>
      <w:r w:rsidR="00E429F9">
        <w:t xml:space="preserve"> Support Knowledge Base</w:t>
      </w:r>
      <w:bookmarkEnd w:id="26"/>
    </w:p>
    <w:p w:rsidR="00E429F9" w:rsidRDefault="00E429F9" w:rsidP="00E429F9"/>
    <w:p w:rsidR="00600277" w:rsidRDefault="00600277" w:rsidP="00E429F9">
      <w:r>
        <w:t>Following information elements should be recorded for use by L1 Support teams.</w:t>
      </w:r>
    </w:p>
    <w:p w:rsidR="00600277" w:rsidRDefault="00600277" w:rsidP="00E429F9"/>
    <w:p w:rsidR="00D64E8D" w:rsidRPr="008941F5" w:rsidRDefault="008941F5" w:rsidP="00E429F9">
      <w:pPr>
        <w:rPr>
          <w:u w:val="single"/>
        </w:rPr>
      </w:pPr>
      <w:r>
        <w:rPr>
          <w:u w:val="single"/>
        </w:rPr>
        <w:t>Automated Process</w:t>
      </w:r>
      <w:r w:rsidR="00D64E8D" w:rsidRPr="008941F5">
        <w:rPr>
          <w:u w:val="single"/>
        </w:rPr>
        <w:t xml:space="preserve"> Information:</w:t>
      </w:r>
    </w:p>
    <w:p w:rsidR="009023BA" w:rsidRDefault="009023BA" w:rsidP="00AF542C">
      <w:pPr>
        <w:pStyle w:val="ListParagraph"/>
        <w:numPr>
          <w:ilvl w:val="0"/>
          <w:numId w:val="29"/>
        </w:numPr>
      </w:pPr>
      <w:r>
        <w:t xml:space="preserve">Automate Business Process ID and Name:  </w:t>
      </w:r>
    </w:p>
    <w:p w:rsidR="009023BA" w:rsidRDefault="009023BA" w:rsidP="00AF542C">
      <w:pPr>
        <w:pStyle w:val="ListParagraph"/>
        <w:numPr>
          <w:ilvl w:val="0"/>
          <w:numId w:val="29"/>
        </w:numPr>
      </w:pPr>
      <w:r>
        <w:t>Version</w:t>
      </w:r>
      <w:r w:rsidR="009C3C71">
        <w:t xml:space="preserve"> of Process</w:t>
      </w:r>
      <w:r>
        <w:t xml:space="preserve">:  </w:t>
      </w:r>
    </w:p>
    <w:p w:rsidR="00E429F9" w:rsidRPr="00D674B6" w:rsidRDefault="00E429F9" w:rsidP="00AF542C">
      <w:pPr>
        <w:pStyle w:val="ListParagraph"/>
        <w:numPr>
          <w:ilvl w:val="0"/>
          <w:numId w:val="29"/>
        </w:numPr>
      </w:pPr>
      <w:r w:rsidRPr="00D674B6">
        <w:t>Automated Process Business Objective:</w:t>
      </w:r>
    </w:p>
    <w:p w:rsidR="00E429F9" w:rsidRDefault="00E429F9" w:rsidP="00AF542C">
      <w:pPr>
        <w:pStyle w:val="ListParagraph"/>
        <w:numPr>
          <w:ilvl w:val="0"/>
          <w:numId w:val="29"/>
        </w:numPr>
      </w:pPr>
      <w:r w:rsidRPr="00D674B6">
        <w:t>Description:</w:t>
      </w:r>
    </w:p>
    <w:p w:rsidR="00AF542C" w:rsidRDefault="00AF542C" w:rsidP="00AF542C">
      <w:pPr>
        <w:pStyle w:val="ListParagraph"/>
        <w:numPr>
          <w:ilvl w:val="0"/>
          <w:numId w:val="29"/>
        </w:numPr>
      </w:pPr>
      <w:r>
        <w:t xml:space="preserve">Number and Ids of Bots used: </w:t>
      </w:r>
    </w:p>
    <w:p w:rsidR="009665D5" w:rsidRPr="00AF542C" w:rsidRDefault="00AF542C" w:rsidP="00AF542C">
      <w:pPr>
        <w:pStyle w:val="ListParagraph"/>
        <w:rPr>
          <w:i/>
        </w:rPr>
      </w:pPr>
      <w:r w:rsidRPr="00AF542C">
        <w:rPr>
          <w:i/>
        </w:rPr>
        <w:t>To clarify c</w:t>
      </w:r>
      <w:r w:rsidR="009665D5" w:rsidRPr="00AF542C">
        <w:rPr>
          <w:i/>
        </w:rPr>
        <w:t>ases where multiple Bots are u</w:t>
      </w:r>
      <w:r w:rsidRPr="00AF542C">
        <w:rPr>
          <w:i/>
        </w:rPr>
        <w:t>sed in single Automated Process</w:t>
      </w:r>
    </w:p>
    <w:p w:rsidR="00E429F9" w:rsidRDefault="00E429F9" w:rsidP="00AF542C">
      <w:pPr>
        <w:pStyle w:val="ListParagraph"/>
        <w:numPr>
          <w:ilvl w:val="0"/>
          <w:numId w:val="29"/>
        </w:numPr>
      </w:pPr>
      <w:r>
        <w:t>Business process Owner:</w:t>
      </w:r>
    </w:p>
    <w:p w:rsidR="00590AD4" w:rsidRDefault="00590AD4" w:rsidP="00AF542C">
      <w:pPr>
        <w:pStyle w:val="ListParagraph"/>
        <w:numPr>
          <w:ilvl w:val="0"/>
          <w:numId w:val="29"/>
        </w:numPr>
      </w:pPr>
      <w:r>
        <w:t xml:space="preserve">Department/Function: </w:t>
      </w:r>
    </w:p>
    <w:p w:rsidR="009023BA" w:rsidRDefault="009023BA" w:rsidP="00AF542C">
      <w:pPr>
        <w:pStyle w:val="ListParagraph"/>
        <w:numPr>
          <w:ilvl w:val="0"/>
          <w:numId w:val="29"/>
        </w:numPr>
      </w:pPr>
      <w:r>
        <w:t>Process SME:</w:t>
      </w:r>
    </w:p>
    <w:p w:rsidR="00207F31" w:rsidRDefault="00207F31" w:rsidP="00AF542C">
      <w:pPr>
        <w:pStyle w:val="ListParagraph"/>
        <w:numPr>
          <w:ilvl w:val="0"/>
          <w:numId w:val="29"/>
        </w:numPr>
      </w:pPr>
      <w:r>
        <w:t>Automation Administrator:</w:t>
      </w:r>
      <w:r w:rsidR="00D2630C">
        <w:t xml:space="preserve"> L2 Support</w:t>
      </w:r>
    </w:p>
    <w:p w:rsidR="00207F31" w:rsidRDefault="00207F31" w:rsidP="00207F31">
      <w:pPr>
        <w:pStyle w:val="ListParagraph"/>
        <w:numPr>
          <w:ilvl w:val="0"/>
          <w:numId w:val="29"/>
        </w:numPr>
      </w:pPr>
      <w:r>
        <w:t>Application Owner:</w:t>
      </w:r>
      <w:r w:rsidR="00D2630C">
        <w:t xml:space="preserve"> L3 Support</w:t>
      </w:r>
    </w:p>
    <w:p w:rsidR="005A7A18" w:rsidRDefault="005A7A18" w:rsidP="003301F9"/>
    <w:p w:rsidR="00D64E8D" w:rsidRPr="008941F5" w:rsidRDefault="00D64E8D" w:rsidP="003301F9">
      <w:pPr>
        <w:rPr>
          <w:u w:val="single"/>
        </w:rPr>
      </w:pPr>
      <w:r w:rsidRPr="008941F5">
        <w:rPr>
          <w:u w:val="single"/>
        </w:rPr>
        <w:t>Issue Diagnosis and Resolution:</w:t>
      </w:r>
    </w:p>
    <w:p w:rsidR="00E429F9" w:rsidRDefault="005A7A18" w:rsidP="00AF542C">
      <w:pPr>
        <w:pStyle w:val="ListParagraph"/>
        <w:numPr>
          <w:ilvl w:val="0"/>
          <w:numId w:val="29"/>
        </w:numPr>
      </w:pPr>
      <w:r>
        <w:t>Known Issues:</w:t>
      </w:r>
    </w:p>
    <w:p w:rsidR="00AF542C" w:rsidRDefault="00AF542C" w:rsidP="00AF542C">
      <w:pPr>
        <w:pStyle w:val="ListParagraph"/>
        <w:numPr>
          <w:ilvl w:val="0"/>
          <w:numId w:val="29"/>
        </w:numPr>
      </w:pPr>
      <w:r>
        <w:t>Locate Error Log:</w:t>
      </w:r>
    </w:p>
    <w:p w:rsidR="00E429F9" w:rsidRDefault="00E429F9" w:rsidP="00AF542C">
      <w:pPr>
        <w:pStyle w:val="ListParagraph"/>
        <w:numPr>
          <w:ilvl w:val="0"/>
          <w:numId w:val="29"/>
        </w:numPr>
      </w:pPr>
      <w:r>
        <w:t xml:space="preserve">Defined Error States with </w:t>
      </w:r>
      <w:r w:rsidR="005A7A18">
        <w:t xml:space="preserve">Severity &amp; </w:t>
      </w:r>
      <w:r>
        <w:t>Actions:</w:t>
      </w:r>
    </w:p>
    <w:p w:rsidR="009665D5" w:rsidRPr="00AF542C" w:rsidRDefault="009665D5" w:rsidP="00AF542C">
      <w:pPr>
        <w:pStyle w:val="ListParagraph"/>
        <w:rPr>
          <w:i/>
        </w:rPr>
      </w:pPr>
      <w:r w:rsidRPr="00AF542C">
        <w:rPr>
          <w:i/>
        </w:rPr>
        <w:t xml:space="preserve">Listing of Errors, Error Identifier codes, </w:t>
      </w:r>
      <w:r w:rsidR="00D45924">
        <w:rPr>
          <w:i/>
        </w:rPr>
        <w:t>with Severity and Actions</w:t>
      </w:r>
    </w:p>
    <w:p w:rsidR="00CF0061" w:rsidRPr="00C20C06" w:rsidRDefault="00C20C06" w:rsidP="00C20C06">
      <w:pPr>
        <w:pStyle w:val="ListParagraph"/>
        <w:rPr>
          <w:i/>
        </w:rPr>
      </w:pPr>
      <w:r>
        <w:rPr>
          <w:i/>
        </w:rPr>
        <w:t>S</w:t>
      </w:r>
      <w:r w:rsidR="00CF0061" w:rsidRPr="00C20C06">
        <w:rPr>
          <w:i/>
        </w:rPr>
        <w:t xml:space="preserve">everity </w:t>
      </w:r>
      <w:r w:rsidR="00D45924">
        <w:rPr>
          <w:i/>
        </w:rPr>
        <w:t>to</w:t>
      </w:r>
      <w:r w:rsidR="00CF0061" w:rsidRPr="00C20C06">
        <w:rPr>
          <w:i/>
        </w:rPr>
        <w:t xml:space="preserve"> be aligned to </w:t>
      </w:r>
      <w:r>
        <w:rPr>
          <w:i/>
        </w:rPr>
        <w:t xml:space="preserve">pre-defined </w:t>
      </w:r>
      <w:r w:rsidR="00CF0061" w:rsidRPr="00C20C06">
        <w:rPr>
          <w:i/>
        </w:rPr>
        <w:t>error states/codes</w:t>
      </w:r>
    </w:p>
    <w:p w:rsidR="00737AE8" w:rsidRDefault="00737AE8" w:rsidP="00737AE8">
      <w:pPr>
        <w:spacing w:after="0"/>
      </w:pPr>
    </w:p>
    <w:p w:rsidR="00737AE8" w:rsidRDefault="00737AE8" w:rsidP="00737AE8">
      <w:pPr>
        <w:spacing w:after="0"/>
      </w:pPr>
    </w:p>
    <w:p w:rsidR="00737AE8" w:rsidRDefault="002175D0" w:rsidP="00737AE8">
      <w:pPr>
        <w:spacing w:after="0"/>
      </w:pPr>
      <w:r>
        <w:t>KB Preparation Guidelines:</w:t>
      </w:r>
    </w:p>
    <w:p w:rsidR="005A7A18" w:rsidRDefault="00750E6C" w:rsidP="002175D0">
      <w:pPr>
        <w:pStyle w:val="ListParagraph"/>
        <w:numPr>
          <w:ilvl w:val="0"/>
          <w:numId w:val="32"/>
        </w:numPr>
        <w:spacing w:after="0"/>
        <w:ind w:left="284" w:hanging="284"/>
      </w:pPr>
      <w:r>
        <w:t xml:space="preserve">To be prepared by </w:t>
      </w:r>
      <w:r w:rsidR="009665D5">
        <w:t>COE prior to release of Bot from Dev to Test environment.</w:t>
      </w:r>
    </w:p>
    <w:p w:rsidR="00750E6C" w:rsidRDefault="00750E6C" w:rsidP="002175D0">
      <w:pPr>
        <w:pStyle w:val="ListParagraph"/>
        <w:numPr>
          <w:ilvl w:val="0"/>
          <w:numId w:val="32"/>
        </w:numPr>
        <w:spacing w:after="0"/>
        <w:ind w:left="284" w:hanging="284"/>
      </w:pPr>
      <w:r>
        <w:t>Update with history, update after each change request</w:t>
      </w:r>
    </w:p>
    <w:p w:rsidR="00750E6C" w:rsidRPr="002F211C" w:rsidRDefault="00750E6C" w:rsidP="002175D0">
      <w:pPr>
        <w:pStyle w:val="ListParagraph"/>
        <w:numPr>
          <w:ilvl w:val="0"/>
          <w:numId w:val="32"/>
        </w:numPr>
        <w:spacing w:after="0"/>
        <w:ind w:left="284" w:hanging="284"/>
      </w:pPr>
      <w:r>
        <w:t>Link to incidents, incident IDs if possible</w:t>
      </w:r>
    </w:p>
    <w:p w:rsidR="004F7CCE" w:rsidRPr="00F80DD1" w:rsidRDefault="004F7CCE" w:rsidP="009665D5">
      <w:pPr>
        <w:shd w:val="clear" w:color="auto" w:fill="FFFFFF"/>
        <w:spacing w:before="100" w:beforeAutospacing="1" w:after="24" w:line="240" w:lineRule="auto"/>
        <w:rPr>
          <w:rFonts w:eastAsia="Times New Roman" w:cs="Arial"/>
          <w:color w:val="222222"/>
          <w:sz w:val="21"/>
          <w:szCs w:val="21"/>
          <w:lang w:eastAsia="en-IN"/>
        </w:rPr>
      </w:pPr>
    </w:p>
    <w:p w:rsidR="004F7CCE" w:rsidRPr="00F80DD1" w:rsidRDefault="004F7CCE" w:rsidP="004F7CCE">
      <w:pPr>
        <w:shd w:val="clear" w:color="auto" w:fill="FFFFFF"/>
        <w:spacing w:before="100" w:beforeAutospacing="1" w:after="24" w:line="240" w:lineRule="auto"/>
        <w:ind w:left="768"/>
        <w:rPr>
          <w:rFonts w:eastAsia="Times New Roman" w:cs="Arial"/>
          <w:color w:val="222222"/>
          <w:sz w:val="21"/>
          <w:szCs w:val="21"/>
          <w:lang w:eastAsia="en-IN"/>
        </w:rPr>
      </w:pPr>
    </w:p>
    <w:p w:rsidR="004F7CCE" w:rsidRPr="002F211C" w:rsidRDefault="004F7CCE" w:rsidP="00F34ECF"/>
    <w:sectPr w:rsidR="004F7CCE"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C56" w:rsidRDefault="00803C56" w:rsidP="00A26419">
      <w:pPr>
        <w:spacing w:after="0" w:line="240" w:lineRule="auto"/>
      </w:pPr>
      <w:r>
        <w:separator/>
      </w:r>
    </w:p>
  </w:endnote>
  <w:endnote w:type="continuationSeparator" w:id="1">
    <w:p w:rsidR="00803C56" w:rsidRDefault="00803C56"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649" w:rsidRDefault="009836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983649" w:rsidRDefault="00CB37CE" w:rsidP="00A26419">
        <w:pPr>
          <w:pStyle w:val="Footer"/>
          <w:pBdr>
            <w:top w:val="thinThickSmallGap" w:sz="18" w:space="1" w:color="auto"/>
          </w:pBdr>
          <w:jc w:val="center"/>
        </w:pPr>
        <w:r w:rsidRPr="00CB37CE">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" filled="f" fillcolor="#5c83b4" stroked="f" strokecolor="#737373">
              <v:textbox>
                <w:txbxContent>
                  <w:p w:rsidR="00983649" w:rsidRDefault="00CB37CE" w:rsidP="00C22449">
                    <w:pPr>
                      <w:pStyle w:val="Footer"/>
                      <w:jc w:val="center"/>
                      <w:rPr>
                        <w:sz w:val="28"/>
                        <w:szCs w:val="28"/>
                      </w:rPr>
                    </w:pPr>
                    <w:r w:rsidRPr="00CB37CE">
                      <w:fldChar w:fldCharType="begin"/>
                    </w:r>
                    <w:r w:rsidR="00983649">
                      <w:instrText xml:space="preserve"> PAGE    \* MERGEFORMAT </w:instrText>
                    </w:r>
                    <w:r w:rsidRPr="00CB37CE">
                      <w:fldChar w:fldCharType="separate"/>
                    </w:r>
                    <w:r w:rsidR="00DF44FF" w:rsidRPr="00DF44FF">
                      <w:rPr>
                        <w:noProof/>
                        <w:sz w:val="28"/>
                        <w:szCs w:val="28"/>
                      </w:rPr>
                      <w:t>2</w:t>
                    </w:r>
                    <w:r>
                      <w:rPr>
                        <w:noProof/>
                        <w:sz w:val="28"/>
                        <w:szCs w:val="28"/>
                      </w:rPr>
                      <w:fldChar w:fldCharType="end"/>
                    </w:r>
                  </w:p>
                </w:txbxContent>
              </v:textbox>
              <w10:wrap anchorx="margin" anchory="margin"/>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649" w:rsidRDefault="00983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C56" w:rsidRDefault="00803C56" w:rsidP="00A26419">
      <w:pPr>
        <w:spacing w:after="0" w:line="240" w:lineRule="auto"/>
      </w:pPr>
      <w:r>
        <w:separator/>
      </w:r>
    </w:p>
  </w:footnote>
  <w:footnote w:type="continuationSeparator" w:id="1">
    <w:p w:rsidR="00803C56" w:rsidRDefault="00803C56" w:rsidP="00A264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649" w:rsidRDefault="009836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649" w:rsidRDefault="009836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649" w:rsidRDefault="009836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FA8"/>
    <w:multiLevelType w:val="hybridMultilevel"/>
    <w:tmpl w:val="8116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5D5CFC"/>
    <w:multiLevelType w:val="multilevel"/>
    <w:tmpl w:val="F9F0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20714E"/>
    <w:multiLevelType w:val="hybridMultilevel"/>
    <w:tmpl w:val="F51A8364"/>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12">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3D3AF2"/>
    <w:multiLevelType w:val="hybridMultilevel"/>
    <w:tmpl w:val="3DA67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CD524D"/>
    <w:multiLevelType w:val="hybridMultilevel"/>
    <w:tmpl w:val="46D82C2C"/>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15">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17">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0">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1">
    <w:nsid w:val="55B67E8C"/>
    <w:multiLevelType w:val="multilevel"/>
    <w:tmpl w:val="4FFCEE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22">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655AE2"/>
    <w:multiLevelType w:val="multilevel"/>
    <w:tmpl w:val="959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4">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7">
    <w:nsid w:val="6AB43B91"/>
    <w:multiLevelType w:val="hybridMultilevel"/>
    <w:tmpl w:val="EB1C18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6"/>
  </w:num>
  <w:num w:numId="3">
    <w:abstractNumId w:val="15"/>
  </w:num>
  <w:num w:numId="4">
    <w:abstractNumId w:val="19"/>
  </w:num>
  <w:num w:numId="5">
    <w:abstractNumId w:val="20"/>
  </w:num>
  <w:num w:numId="6">
    <w:abstractNumId w:val="30"/>
  </w:num>
  <w:num w:numId="7">
    <w:abstractNumId w:val="10"/>
  </w:num>
  <w:num w:numId="8">
    <w:abstractNumId w:val="8"/>
  </w:num>
  <w:num w:numId="9">
    <w:abstractNumId w:val="29"/>
  </w:num>
  <w:num w:numId="10">
    <w:abstractNumId w:val="12"/>
  </w:num>
  <w:num w:numId="11">
    <w:abstractNumId w:val="6"/>
  </w:num>
  <w:num w:numId="12">
    <w:abstractNumId w:val="24"/>
  </w:num>
  <w:num w:numId="13">
    <w:abstractNumId w:val="25"/>
  </w:num>
  <w:num w:numId="14">
    <w:abstractNumId w:val="3"/>
  </w:num>
  <w:num w:numId="15">
    <w:abstractNumId w:val="2"/>
  </w:num>
  <w:num w:numId="16">
    <w:abstractNumId w:val="28"/>
  </w:num>
  <w:num w:numId="17">
    <w:abstractNumId w:val="22"/>
  </w:num>
  <w:num w:numId="18">
    <w:abstractNumId w:val="18"/>
  </w:num>
  <w:num w:numId="19">
    <w:abstractNumId w:val="9"/>
  </w:num>
  <w:num w:numId="20">
    <w:abstractNumId w:val="4"/>
  </w:num>
  <w:num w:numId="21">
    <w:abstractNumId w:val="17"/>
  </w:num>
  <w:num w:numId="22">
    <w:abstractNumId w:val="1"/>
  </w:num>
  <w:num w:numId="23">
    <w:abstractNumId w:val="31"/>
  </w:num>
  <w:num w:numId="24">
    <w:abstractNumId w:val="5"/>
  </w:num>
  <w:num w:numId="25">
    <w:abstractNumId w:val="7"/>
  </w:num>
  <w:num w:numId="26">
    <w:abstractNumId w:val="21"/>
  </w:num>
  <w:num w:numId="27">
    <w:abstractNumId w:val="23"/>
  </w:num>
  <w:num w:numId="28">
    <w:abstractNumId w:val="27"/>
  </w:num>
  <w:num w:numId="29">
    <w:abstractNumId w:val="13"/>
  </w:num>
  <w:num w:numId="30">
    <w:abstractNumId w:val="11"/>
  </w:num>
  <w:num w:numId="31">
    <w:abstractNumId w:val="14"/>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34B46"/>
    <w:rsid w:val="00006CA2"/>
    <w:rsid w:val="00013D57"/>
    <w:rsid w:val="00031B00"/>
    <w:rsid w:val="00032F63"/>
    <w:rsid w:val="00043888"/>
    <w:rsid w:val="00061A34"/>
    <w:rsid w:val="0006474E"/>
    <w:rsid w:val="00072AC6"/>
    <w:rsid w:val="00073EE1"/>
    <w:rsid w:val="000A2C87"/>
    <w:rsid w:val="000C0682"/>
    <w:rsid w:val="000C3379"/>
    <w:rsid w:val="000E5312"/>
    <w:rsid w:val="000F7354"/>
    <w:rsid w:val="000F7674"/>
    <w:rsid w:val="001074EB"/>
    <w:rsid w:val="001120D5"/>
    <w:rsid w:val="0013130B"/>
    <w:rsid w:val="00132E67"/>
    <w:rsid w:val="00156D6B"/>
    <w:rsid w:val="00160DDF"/>
    <w:rsid w:val="0016239C"/>
    <w:rsid w:val="001672D8"/>
    <w:rsid w:val="0018399E"/>
    <w:rsid w:val="00186C8F"/>
    <w:rsid w:val="00195FC7"/>
    <w:rsid w:val="001C0644"/>
    <w:rsid w:val="001C55EE"/>
    <w:rsid w:val="001C69AB"/>
    <w:rsid w:val="001D3C95"/>
    <w:rsid w:val="001D7C94"/>
    <w:rsid w:val="00207F31"/>
    <w:rsid w:val="00210178"/>
    <w:rsid w:val="002175D0"/>
    <w:rsid w:val="00224B4E"/>
    <w:rsid w:val="0022527D"/>
    <w:rsid w:val="0023111E"/>
    <w:rsid w:val="00232B70"/>
    <w:rsid w:val="002473DF"/>
    <w:rsid w:val="00252CBD"/>
    <w:rsid w:val="00261C54"/>
    <w:rsid w:val="00272821"/>
    <w:rsid w:val="00274FCA"/>
    <w:rsid w:val="0027664C"/>
    <w:rsid w:val="002918A0"/>
    <w:rsid w:val="00293685"/>
    <w:rsid w:val="00296E6A"/>
    <w:rsid w:val="002C4D47"/>
    <w:rsid w:val="002F211C"/>
    <w:rsid w:val="0030247E"/>
    <w:rsid w:val="00303F1A"/>
    <w:rsid w:val="003228CB"/>
    <w:rsid w:val="003301F9"/>
    <w:rsid w:val="00337253"/>
    <w:rsid w:val="00347DA7"/>
    <w:rsid w:val="0037114F"/>
    <w:rsid w:val="003718DE"/>
    <w:rsid w:val="00372860"/>
    <w:rsid w:val="00372B86"/>
    <w:rsid w:val="00383B5D"/>
    <w:rsid w:val="00384296"/>
    <w:rsid w:val="00387C24"/>
    <w:rsid w:val="003A386D"/>
    <w:rsid w:val="003A7A76"/>
    <w:rsid w:val="003B6B8E"/>
    <w:rsid w:val="003C3777"/>
    <w:rsid w:val="003D4113"/>
    <w:rsid w:val="003E27A8"/>
    <w:rsid w:val="003E7EA8"/>
    <w:rsid w:val="003F1397"/>
    <w:rsid w:val="0041544E"/>
    <w:rsid w:val="004209E2"/>
    <w:rsid w:val="00422434"/>
    <w:rsid w:val="00434B0B"/>
    <w:rsid w:val="004576AA"/>
    <w:rsid w:val="00463CF7"/>
    <w:rsid w:val="004643D6"/>
    <w:rsid w:val="00470BFE"/>
    <w:rsid w:val="004A2468"/>
    <w:rsid w:val="004A5C14"/>
    <w:rsid w:val="004D01B3"/>
    <w:rsid w:val="004D2A5D"/>
    <w:rsid w:val="004D4F45"/>
    <w:rsid w:val="004D52B2"/>
    <w:rsid w:val="004E1B94"/>
    <w:rsid w:val="004E399A"/>
    <w:rsid w:val="004E60F4"/>
    <w:rsid w:val="004F0DE7"/>
    <w:rsid w:val="004F5CDD"/>
    <w:rsid w:val="004F7CCE"/>
    <w:rsid w:val="005041AC"/>
    <w:rsid w:val="00524DDB"/>
    <w:rsid w:val="0054128C"/>
    <w:rsid w:val="00565EF9"/>
    <w:rsid w:val="005708D3"/>
    <w:rsid w:val="00581818"/>
    <w:rsid w:val="00585FA9"/>
    <w:rsid w:val="00590AD4"/>
    <w:rsid w:val="0059751E"/>
    <w:rsid w:val="005A084C"/>
    <w:rsid w:val="005A2F46"/>
    <w:rsid w:val="005A7A18"/>
    <w:rsid w:val="005B0374"/>
    <w:rsid w:val="005B562E"/>
    <w:rsid w:val="005D3A14"/>
    <w:rsid w:val="005F000F"/>
    <w:rsid w:val="005F23DD"/>
    <w:rsid w:val="00600277"/>
    <w:rsid w:val="006110D8"/>
    <w:rsid w:val="00615F5C"/>
    <w:rsid w:val="006215C2"/>
    <w:rsid w:val="00634B46"/>
    <w:rsid w:val="00655A30"/>
    <w:rsid w:val="0066536D"/>
    <w:rsid w:val="00672A60"/>
    <w:rsid w:val="006842C2"/>
    <w:rsid w:val="00685E73"/>
    <w:rsid w:val="00691680"/>
    <w:rsid w:val="006E2B95"/>
    <w:rsid w:val="006E6575"/>
    <w:rsid w:val="006E79F9"/>
    <w:rsid w:val="006F318E"/>
    <w:rsid w:val="006F3501"/>
    <w:rsid w:val="006F4EF4"/>
    <w:rsid w:val="007274E0"/>
    <w:rsid w:val="00736673"/>
    <w:rsid w:val="007372EB"/>
    <w:rsid w:val="00737AE8"/>
    <w:rsid w:val="00741D0D"/>
    <w:rsid w:val="00750E6C"/>
    <w:rsid w:val="00760492"/>
    <w:rsid w:val="007851F2"/>
    <w:rsid w:val="00794618"/>
    <w:rsid w:val="007A31FD"/>
    <w:rsid w:val="007C203D"/>
    <w:rsid w:val="007D03D7"/>
    <w:rsid w:val="007E09A8"/>
    <w:rsid w:val="007F014F"/>
    <w:rsid w:val="007F1398"/>
    <w:rsid w:val="007F3EA7"/>
    <w:rsid w:val="0080386C"/>
    <w:rsid w:val="00803C56"/>
    <w:rsid w:val="0081426F"/>
    <w:rsid w:val="00834A3F"/>
    <w:rsid w:val="0084002D"/>
    <w:rsid w:val="00846E50"/>
    <w:rsid w:val="00853C85"/>
    <w:rsid w:val="008941F5"/>
    <w:rsid w:val="008B4962"/>
    <w:rsid w:val="008B7855"/>
    <w:rsid w:val="008C67D6"/>
    <w:rsid w:val="008C7353"/>
    <w:rsid w:val="008D35C4"/>
    <w:rsid w:val="008D3DA8"/>
    <w:rsid w:val="008E27CB"/>
    <w:rsid w:val="008F51D3"/>
    <w:rsid w:val="0090008A"/>
    <w:rsid w:val="009023BA"/>
    <w:rsid w:val="009034B7"/>
    <w:rsid w:val="00905FD7"/>
    <w:rsid w:val="00906F21"/>
    <w:rsid w:val="00925D3E"/>
    <w:rsid w:val="00940DAB"/>
    <w:rsid w:val="00956D9C"/>
    <w:rsid w:val="00957202"/>
    <w:rsid w:val="0096410D"/>
    <w:rsid w:val="009665D5"/>
    <w:rsid w:val="00983649"/>
    <w:rsid w:val="009862AE"/>
    <w:rsid w:val="009C3C71"/>
    <w:rsid w:val="009E09B5"/>
    <w:rsid w:val="00A04573"/>
    <w:rsid w:val="00A06F35"/>
    <w:rsid w:val="00A16A51"/>
    <w:rsid w:val="00A26419"/>
    <w:rsid w:val="00A4159E"/>
    <w:rsid w:val="00A70915"/>
    <w:rsid w:val="00A77CC9"/>
    <w:rsid w:val="00A9114D"/>
    <w:rsid w:val="00AA60DA"/>
    <w:rsid w:val="00AB3395"/>
    <w:rsid w:val="00AB7CE1"/>
    <w:rsid w:val="00AF542C"/>
    <w:rsid w:val="00B05923"/>
    <w:rsid w:val="00B1431B"/>
    <w:rsid w:val="00B3548F"/>
    <w:rsid w:val="00B3595F"/>
    <w:rsid w:val="00B43DCC"/>
    <w:rsid w:val="00B6187A"/>
    <w:rsid w:val="00B93B81"/>
    <w:rsid w:val="00BA2FC6"/>
    <w:rsid w:val="00BA7C74"/>
    <w:rsid w:val="00BB24BE"/>
    <w:rsid w:val="00BC55B5"/>
    <w:rsid w:val="00BD2CBF"/>
    <w:rsid w:val="00BE29D9"/>
    <w:rsid w:val="00C01838"/>
    <w:rsid w:val="00C01B75"/>
    <w:rsid w:val="00C11399"/>
    <w:rsid w:val="00C20C06"/>
    <w:rsid w:val="00C22449"/>
    <w:rsid w:val="00C24118"/>
    <w:rsid w:val="00C26B22"/>
    <w:rsid w:val="00C342BA"/>
    <w:rsid w:val="00C36E59"/>
    <w:rsid w:val="00C671A0"/>
    <w:rsid w:val="00C74ACE"/>
    <w:rsid w:val="00C76461"/>
    <w:rsid w:val="00CA1534"/>
    <w:rsid w:val="00CA55D6"/>
    <w:rsid w:val="00CA6BC6"/>
    <w:rsid w:val="00CB37CE"/>
    <w:rsid w:val="00CC1731"/>
    <w:rsid w:val="00CC4727"/>
    <w:rsid w:val="00CC77CB"/>
    <w:rsid w:val="00CD636A"/>
    <w:rsid w:val="00CF0061"/>
    <w:rsid w:val="00D02DAF"/>
    <w:rsid w:val="00D04383"/>
    <w:rsid w:val="00D04496"/>
    <w:rsid w:val="00D2630C"/>
    <w:rsid w:val="00D3013E"/>
    <w:rsid w:val="00D32F7F"/>
    <w:rsid w:val="00D424A5"/>
    <w:rsid w:val="00D45924"/>
    <w:rsid w:val="00D64E8D"/>
    <w:rsid w:val="00D674B6"/>
    <w:rsid w:val="00D7008B"/>
    <w:rsid w:val="00D81D26"/>
    <w:rsid w:val="00D8249F"/>
    <w:rsid w:val="00D95C5E"/>
    <w:rsid w:val="00DA2195"/>
    <w:rsid w:val="00DB7180"/>
    <w:rsid w:val="00DE6062"/>
    <w:rsid w:val="00DF44FF"/>
    <w:rsid w:val="00E02586"/>
    <w:rsid w:val="00E07F56"/>
    <w:rsid w:val="00E10B3D"/>
    <w:rsid w:val="00E12F23"/>
    <w:rsid w:val="00E15A5C"/>
    <w:rsid w:val="00E1614C"/>
    <w:rsid w:val="00E2243D"/>
    <w:rsid w:val="00E37A95"/>
    <w:rsid w:val="00E429F9"/>
    <w:rsid w:val="00E54699"/>
    <w:rsid w:val="00E63721"/>
    <w:rsid w:val="00E64557"/>
    <w:rsid w:val="00E748C6"/>
    <w:rsid w:val="00E768DD"/>
    <w:rsid w:val="00E854AB"/>
    <w:rsid w:val="00E9495F"/>
    <w:rsid w:val="00EA0263"/>
    <w:rsid w:val="00EB30C9"/>
    <w:rsid w:val="00EE2FA9"/>
    <w:rsid w:val="00EE54F0"/>
    <w:rsid w:val="00EE602D"/>
    <w:rsid w:val="00EF2769"/>
    <w:rsid w:val="00F154CF"/>
    <w:rsid w:val="00F34ECF"/>
    <w:rsid w:val="00F5018F"/>
    <w:rsid w:val="00F52321"/>
    <w:rsid w:val="00F62BAE"/>
    <w:rsid w:val="00F80DD1"/>
    <w:rsid w:val="00F931C9"/>
    <w:rsid w:val="00F97B19"/>
    <w:rsid w:val="00FA51BA"/>
    <w:rsid w:val="00FA5DF7"/>
    <w:rsid w:val="00FB0C07"/>
    <w:rsid w:val="00FB44E3"/>
    <w:rsid w:val="00FB6BC8"/>
    <w:rsid w:val="00FB7B25"/>
    <w:rsid w:val="00FC6010"/>
    <w:rsid w:val="00FD5AED"/>
    <w:rsid w:val="00FD619F"/>
    <w:rsid w:val="00FE44D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uiPriority w:val="99"/>
    <w:rsid w:val="006110D8"/>
    <w:pPr>
      <w:keepLines/>
      <w:widowControl w:val="0"/>
      <w:spacing w:after="240" w:line="240" w:lineRule="atLeas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7AC64-911C-41AF-A12D-1C3CEED9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142</cp:revision>
  <dcterms:created xsi:type="dcterms:W3CDTF">2018-10-20T14:13:00Z</dcterms:created>
  <dcterms:modified xsi:type="dcterms:W3CDTF">2019-01-01T07:21:00Z</dcterms:modified>
</cp:coreProperties>
</file>