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CCF 3457</w:t>
        <w:tab/>
        <w:tab/>
        <w:t xml:space="preserve">NETWORK FORENSIC INVESTIGATIONS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Contact Hours</w:t>
        <w:tab/>
      </w: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Pre-requisites</w:t>
        <w:tab/>
        <w:tab/>
      </w:r>
      <w:r w:rsidDel="00000000" w:rsidR="00000000" w:rsidRPr="00000000">
        <w:rPr>
          <w:rtl w:val="0"/>
        </w:rPr>
        <w:t xml:space="preserve">Network Design and Implementation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 of the Course</w:t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The course aims to introduce Cyber-attack prevention, detection, response, and investigation with the goals of counteracting cybercrime, cyber terrorism, and cyber predators, and making the responsible persons/groups accountable</w:t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Expected Learning Outcomes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By the end of the course, the student should be able to: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fundamental knowledge and hands-on practice on computer and network forensics.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knowledge of computer and network forensics.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skills in securing today's network-centric computing environment.</w:t>
      </w:r>
    </w:p>
    <w:p w:rsidR="00000000" w:rsidDel="00000000" w:rsidP="00000000" w:rsidRDefault="00000000" w:rsidRPr="00000000" w14:paraId="0000000F">
      <w:pPr>
        <w:spacing w:line="360" w:lineRule="auto"/>
        <w:ind w:left="360" w:hanging="36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3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Content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Digital Forensics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An Overview on forensics,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 Basics and Criminalities,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Topics in Computer and Network Forensics.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 Modeling and Principles Forensic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Duplication Forensics Analytics File Carving Cyber Forensics Tools and the Testing Thereof Mobile Device Forensics Network Surveillance and Accountability Network Attack Traceback and Attribution Multicast Fingerprinting Multimedia Forensics.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Intrusion and Online Frauds Detection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Steganography &amp; Steganalysis,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Anonymity/Pseudonymity/P3P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Cyber Law, Security and Privacy Policies and Guidelines.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Case Studies, and ethical issues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Court Testimony and Report Writing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Mode of Delivery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Lectures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Tutorials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 study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discussions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studies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Instructional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Overhead projector and computer, handouts, white boards, appropriate software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Assessment</w:t>
      </w:r>
    </w:p>
    <w:p w:rsidR="00000000" w:rsidDel="00000000" w:rsidP="00000000" w:rsidRDefault="00000000" w:rsidRPr="00000000" w14:paraId="0000002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Type</w:t>
        <w:tab/>
        <w:tab/>
        <w:tab/>
        <w:t xml:space="preserve">Weighting (%)</w:t>
      </w:r>
    </w:p>
    <w:p w:rsidR="00000000" w:rsidDel="00000000" w:rsidP="00000000" w:rsidRDefault="00000000" w:rsidRPr="00000000" w14:paraId="0000002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Examination</w:t>
        <w:tab/>
        <w:tab/>
        <w:tab/>
        <w:t xml:space="preserve">70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Continuous Assessment</w:t>
        <w:tab/>
        <w:t xml:space="preserve">30</w:t>
      </w:r>
    </w:p>
    <w:p w:rsidR="00000000" w:rsidDel="00000000" w:rsidP="00000000" w:rsidRDefault="00000000" w:rsidRPr="00000000" w14:paraId="0000002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Total</w:t>
        <w:tab/>
        <w:tab/>
        <w:tab/>
        <w:tab/>
        <w:t xml:space="preserve">100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Reading Material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Middleton, B. (2005). </w:t>
      </w:r>
      <w:r w:rsidDel="00000000" w:rsidR="00000000" w:rsidRPr="00000000">
        <w:rPr>
          <w:i w:val="1"/>
          <w:rtl w:val="0"/>
        </w:rPr>
        <w:t xml:space="preserve">Cyber Crime Investigator’s Field Guide, Second Edition</w:t>
      </w:r>
      <w:r w:rsidDel="00000000" w:rsidR="00000000" w:rsidRPr="00000000">
        <w:rPr>
          <w:rtl w:val="0"/>
        </w:rPr>
        <w:t xml:space="preserve">. CRC Press.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Prosise, C., &amp; Mandia, K. (2001). </w:t>
      </w:r>
      <w:r w:rsidDel="00000000" w:rsidR="00000000" w:rsidRPr="00000000">
        <w:rPr>
          <w:i w:val="1"/>
          <w:rtl w:val="0"/>
        </w:rPr>
        <w:t xml:space="preserve">Incident Response: Investigating Computer Crime</w:t>
      </w:r>
      <w:r w:rsidDel="00000000" w:rsidR="00000000" w:rsidRPr="00000000">
        <w:rPr>
          <w:rtl w:val="0"/>
        </w:rPr>
        <w:t xml:space="preserve">. Osborne/McGraw-Hill.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Recommended Reading Material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240" w:hanging="360"/>
        <w:jc w:val="both"/>
        <w:rPr/>
      </w:pPr>
      <w:r w:rsidDel="00000000" w:rsidR="00000000" w:rsidRPr="00000000">
        <w:rPr>
          <w:rtl w:val="0"/>
        </w:rPr>
        <w:t xml:space="preserve">Kruse, W. G. I., &amp; Heiser, J. G. (2002). </w:t>
      </w:r>
      <w:r w:rsidDel="00000000" w:rsidR="00000000" w:rsidRPr="00000000">
        <w:rPr>
          <w:i w:val="1"/>
          <w:rtl w:val="0"/>
        </w:rPr>
        <w:t xml:space="preserve">Computer Forensics: Incident Response Essentials</w:t>
      </w:r>
      <w:r w:rsidDel="00000000" w:rsidR="00000000" w:rsidRPr="00000000">
        <w:rPr>
          <w:rtl w:val="0"/>
        </w:rPr>
        <w:t xml:space="preserve">. Addison-Wesley.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40" w:hanging="360"/>
      </w:pPr>
      <w:rPr/>
    </w:lvl>
    <w:lvl w:ilvl="1">
      <w:start w:val="1"/>
      <w:numFmt w:val="lowerLetter"/>
      <w:lvlText w:val="%2."/>
      <w:lvlJc w:val="left"/>
      <w:pPr>
        <w:ind w:left="960" w:hanging="360"/>
      </w:pPr>
      <w:rPr/>
    </w:lvl>
    <w:lvl w:ilvl="2">
      <w:start w:val="1"/>
      <w:numFmt w:val="lowerRoman"/>
      <w:lvlText w:val="%3."/>
      <w:lvlJc w:val="right"/>
      <w:pPr>
        <w:ind w:left="1680" w:hanging="180"/>
      </w:pPr>
      <w:rPr/>
    </w:lvl>
    <w:lvl w:ilvl="3">
      <w:start w:val="1"/>
      <w:numFmt w:val="decimal"/>
      <w:lvlText w:val="%4."/>
      <w:lvlJc w:val="left"/>
      <w:pPr>
        <w:ind w:left="2400" w:hanging="360"/>
      </w:pPr>
      <w:rPr/>
    </w:lvl>
    <w:lvl w:ilvl="4">
      <w:start w:val="1"/>
      <w:numFmt w:val="lowerLetter"/>
      <w:lvlText w:val="%5."/>
      <w:lvlJc w:val="left"/>
      <w:pPr>
        <w:ind w:left="3120" w:hanging="360"/>
      </w:pPr>
      <w:rPr/>
    </w:lvl>
    <w:lvl w:ilvl="5">
      <w:start w:val="1"/>
      <w:numFmt w:val="lowerRoman"/>
      <w:lvlText w:val="%6."/>
      <w:lvlJc w:val="right"/>
      <w:pPr>
        <w:ind w:left="3840" w:hanging="180"/>
      </w:pPr>
      <w:rPr/>
    </w:lvl>
    <w:lvl w:ilvl="6">
      <w:start w:val="1"/>
      <w:numFmt w:val="decimal"/>
      <w:lvlText w:val="%7."/>
      <w:lvlJc w:val="left"/>
      <w:pPr>
        <w:ind w:left="4560" w:hanging="360"/>
      </w:pPr>
      <w:rPr/>
    </w:lvl>
    <w:lvl w:ilvl="7">
      <w:start w:val="1"/>
      <w:numFmt w:val="lowerLetter"/>
      <w:lvlText w:val="%8."/>
      <w:lvlJc w:val="left"/>
      <w:pPr>
        <w:ind w:left="5280" w:hanging="360"/>
      </w:pPr>
      <w:rPr/>
    </w:lvl>
    <w:lvl w:ilvl="8">
      <w:start w:val="1"/>
      <w:numFmt w:val="lowerRoman"/>
      <w:lvlText w:val="%9."/>
      <w:lvlJc w:val="right"/>
      <w:pPr>
        <w:ind w:left="600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