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jc w:val="center"/>
      </w:pPr>
      <w:r>
        <w:rPr>
          <w:rFonts w:ascii="Times New Roman" w:cs="Times New Roman" w:eastAsia="Times New Roman" w:hAnsi="Times New Roman"/>
          <w:b/>
          <w:bCs/>
          <w:sz w:val="32"/>
          <w:szCs w:val="32"/>
        </w:rPr>
        <w:t xml:space="preserve">Chapter 2 — Literature Review</w:t>
      </w:r>
    </w:p>
    <w:p>
      <w:pPr>
        <w:spacing w:after="240" w:before="360"/>
      </w:pPr>
      <w:r>
        <w:rPr>
          <w:rFonts w:ascii="Times New Roman" w:cs="Times New Roman" w:eastAsia="Times New Roman" w:hAnsi="Times New Roman"/>
          <w:b/>
          <w:bCs/>
          <w:sz w:val="26"/>
          <w:szCs w:val="26"/>
        </w:rPr>
        <w:t xml:space="preserve">2.1 Introduction</w:t>
      </w:r>
    </w:p>
    <w:p>
      <w:pPr>
        <w:spacing w:after="0" w:before="0" w:line="480"/>
        <w:jc w:val="both"/>
      </w:pPr>
      <w:r>
        <w:rPr>
          <w:rFonts w:ascii="Times New Roman" w:cs="Times New Roman" w:eastAsia="Times New Roman" w:hAnsi="Times New Roman"/>
          <w:sz w:val="24"/>
          <w:szCs w:val="24"/>
        </w:rPr>
        <w:t xml:space="preserve">The demographic transition fitness paradox refers to the empirical observation that, in contemporary high-income populations, individuals with greater socioeconomic resources tend to produce fewer offspring than those with fewer resources. This pattern directly contradicts the central prediction of evolutionary theory that organisms should convert resources into reproduction, and it was first explicitly framed as a theoretical problem by Vining (1986), who described it as the central theoretical problem of human sociobiology. Nearly four decades later the paradox remains unresolved, despite a substantial empirical and theoretical literature spanning evolutionary anthropology, behavioural ecology, formal demography, sociology, and economics.</w:t>
      </w:r>
    </w:p>
    <w:p>
      <w:pPr>
        <w:spacing w:after="0" w:before="0" w:line="480"/>
        <w:ind w:firstLine="480"/>
        <w:jc w:val="both"/>
      </w:pPr>
      <w:r>
        <w:rPr>
          <w:rFonts w:ascii="Times New Roman" w:cs="Times New Roman" w:eastAsia="Times New Roman" w:hAnsi="Times New Roman"/>
          <w:sz w:val="24"/>
          <w:szCs w:val="24"/>
        </w:rPr>
        <w:t xml:space="preserve">This chapter reviews that literature in five parts. Section 2.2 establishes the empirical phenomenon itself and situates it within the broader history of the demographic transition. Section 2.3 surveys the three principal theoretical frameworks that have been advanced to explain the paradox: cultural transmission models, quantity–quality tradeoff models, and multigenerational fitness or maladaptation models. Section 2.4 examines the more recent literature on whether the SES–fertility relationship is uniformly negative or instead non-monotonic, encompassing both the J-curve hypothesis at the upper tail of the distribution and the broader possibility of U-shaped gradients across the full educational range. Section 2.5 reviews the body of work on the individual-level mechanisms by which education in particular depresses fertility, with attention to the methodological challenges of causal identification and mediation analysis in this domain. Section 2.6 identifies the methodological and substantive gaps that this dissertation seeks to address.</w:t>
      </w:r>
    </w:p>
    <w:p>
      <w:pPr>
        <w:spacing w:after="240" w:before="360"/>
      </w:pPr>
      <w:r>
        <w:rPr>
          <w:rFonts w:ascii="Times New Roman" w:cs="Times New Roman" w:eastAsia="Times New Roman" w:hAnsi="Times New Roman"/>
          <w:b/>
          <w:bCs/>
          <w:sz w:val="26"/>
          <w:szCs w:val="26"/>
        </w:rPr>
        <w:t xml:space="preserve">2.2 The Demographic Transition and the Emergence of the Paradox</w:t>
      </w:r>
    </w:p>
    <w:p>
      <w:pPr>
        <w:spacing w:after="0" w:before="0" w:line="480"/>
        <w:jc w:val="both"/>
      </w:pPr>
      <w:r>
        <w:rPr>
          <w:rFonts w:ascii="Times New Roman" w:cs="Times New Roman" w:eastAsia="Times New Roman" w:hAnsi="Times New Roman"/>
          <w:sz w:val="24"/>
          <w:szCs w:val="24"/>
        </w:rPr>
        <w:t xml:space="preserve">The demographic transition is the historical shift, beginning in eighteenth-century France and subsequently spreading across Europe and the rest of the world, from a regime of high fertility and high mortality to one of low fertility and low mortality (Notestein, 1945; Caldwell, 1976). Across pre-transition agrarian populations, the relationship between wealth or status and reproductive success was typically positive: wealthier landholders, higher-ranking nobles, and more successful farmers had more surviving children than their poorer counterparts (Boone, 1986; Voland, 1990; Pettay et al., 2007). Reviews of historical demographic and ethnographic studies suggest that this positive gradient was the dominant pattern across cultures and time periods prior to industrialisation (Hopcroft, 2006; Nettle and Pollet, 2008). Borgerhoff Mulder (1998), in an influential early review, confirmed the cross-cultural generality of the positive wealth–fertility association in pre-industrial settings while noting the emerging exceptions in populations undergoing modernisation.</w:t>
      </w:r>
    </w:p>
    <w:p>
      <w:pPr>
        <w:spacing w:after="0" w:before="0" w:line="480"/>
        <w:ind w:firstLine="480"/>
        <w:jc w:val="both"/>
      </w:pPr>
      <w:r>
        <w:rPr>
          <w:rFonts w:ascii="Times New Roman" w:cs="Times New Roman" w:eastAsia="Times New Roman" w:hAnsi="Times New Roman"/>
          <w:sz w:val="24"/>
          <w:szCs w:val="24"/>
        </w:rPr>
        <w:t xml:space="preserve">The reversal of this gradient happened unevenly across populations and over an extended historical window. In Sweden, where unusually complete parish records permit detailed multigenerational analysis, the wealth–fertility relationship weakened during the nineteenth century and inverted in the early twentieth (Dribe, Hacker, and Scalone, 2014; Goodman, Koupil, and Lawson, 2012). In Britain, the timing was broadly similar, with negative gradients well established by the interwar period (Coleman and Salt, 1992). In southern and eastern Europe the inversion was later, in some cases not until the second half of the twentieth century. By the mid-twentieth century, the negative gradient between education or income and completed fertility was a defining feature of fertility patterns across the developed world, and it has persisted to the present in most countries despite considerable variation in its magnitude and shape (Skirbekk, 2008; Andersson et al., 2009).</w:t>
      </w:r>
    </w:p>
    <w:p>
      <w:pPr>
        <w:spacing w:after="0" w:before="0" w:line="480"/>
        <w:ind w:firstLine="480"/>
        <w:jc w:val="both"/>
      </w:pPr>
      <w:r>
        <w:rPr>
          <w:rFonts w:ascii="Times New Roman" w:cs="Times New Roman" w:eastAsia="Times New Roman" w:hAnsi="Times New Roman"/>
          <w:sz w:val="24"/>
          <w:szCs w:val="24"/>
        </w:rPr>
        <w:t xml:space="preserve">This inversion was not anticipated by classical demographic transition theory, which framed fertility decline primarily as a response to falling child mortality and to the changing economic value of children, without specifically predicting that fertility would fall fastest among those best resourced to support large families (Mason, 1997). The second demographic transition framework proposed by Lesthaeghe and van de Kaa (1986) and subsequently developed by Lesthaeghe (2010) offered a complementary perspective, emphasising ideational change—rising individualism, secularisation, and self-actualisation values—as drivers of below-replacement fertility in post-industrial societies. The second demographic transition framework does not directly address the SES gradient, but its emphasis on value change as a driver of fertility behaviour provides theoretical grounding for the cultural transmission explanations discussed in Section 2.3.1.</w:t>
      </w:r>
    </w:p>
    <w:p>
      <w:pPr>
        <w:spacing w:after="0" w:before="0" w:line="480"/>
        <w:ind w:firstLine="480"/>
        <w:jc w:val="both"/>
      </w:pPr>
      <w:r>
        <w:rPr>
          <w:rFonts w:ascii="Times New Roman" w:cs="Times New Roman" w:eastAsia="Times New Roman" w:hAnsi="Times New Roman"/>
          <w:sz w:val="24"/>
          <w:szCs w:val="24"/>
        </w:rPr>
        <w:t xml:space="preserve">The puzzle that the inversion poses for evolutionary theory was articulated most influentially by Vining (1986), who pointed out that no equivalent reversal had been documented in any other species and that the human pattern therefore required a specifically human explanation. This framing has structured the subsequent literature: most attempts to resolve the paradox accept the empirical fact of the gradient and seek to provide a mechanism that reconciles it with broader evolutionary theory. Borgerhoff Mulder (2009), returning to the question over a decade after her earlier review, emphasised that the paradox is not a single phenomenon but a family of related patterns that vary in strength, timing, and mechanism across populations, cautioning against the search for a single universal explanation.</w:t>
      </w:r>
    </w:p>
    <w:p>
      <w:pPr>
        <w:spacing w:after="240" w:before="360"/>
      </w:pPr>
      <w:r>
        <w:rPr>
          <w:rFonts w:ascii="Times New Roman" w:cs="Times New Roman" w:eastAsia="Times New Roman" w:hAnsi="Times New Roman"/>
          <w:b/>
          <w:bCs/>
          <w:sz w:val="26"/>
          <w:szCs w:val="26"/>
        </w:rPr>
        <w:t xml:space="preserve">2.3 Theoretical Explanations</w:t>
      </w:r>
    </w:p>
    <w:p>
      <w:pPr>
        <w:spacing w:after="0" w:before="0" w:line="480"/>
        <w:jc w:val="both"/>
      </w:pPr>
      <w:r>
        <w:rPr>
          <w:rFonts w:ascii="Times New Roman" w:cs="Times New Roman" w:eastAsia="Times New Roman" w:hAnsi="Times New Roman"/>
          <w:sz w:val="24"/>
          <w:szCs w:val="24"/>
        </w:rPr>
        <w:t xml:space="preserve">Three principal explanatory frameworks have dominated the literature. They are not mutually exclusive—several authors argue for combinations of mechanisms—but they make different predictions about the conditions under which the gradient should appear, the populations among which it should be steepest, and the long-run trajectory of fertility.</w:t>
      </w:r>
    </w:p>
    <w:p>
      <w:pPr>
        <w:spacing w:after="200" w:before="280"/>
      </w:pPr>
      <w:r>
        <w:rPr>
          <w:rFonts w:ascii="Times New Roman" w:cs="Times New Roman" w:eastAsia="Times New Roman" w:hAnsi="Times New Roman"/>
          <w:b/>
          <w:bCs/>
          <w:i/>
          <w:iCs/>
          <w:sz w:val="24"/>
          <w:szCs w:val="24"/>
        </w:rPr>
        <w:t xml:space="preserve">2.3.1 Cultural Transmission</w:t>
      </w:r>
    </w:p>
    <w:p>
      <w:pPr>
        <w:spacing w:after="0" w:before="0" w:line="480"/>
        <w:jc w:val="both"/>
      </w:pPr>
      <w:r>
        <w:rPr>
          <w:rFonts w:ascii="Times New Roman" w:cs="Times New Roman" w:eastAsia="Times New Roman" w:hAnsi="Times New Roman"/>
          <w:sz w:val="24"/>
          <w:szCs w:val="24"/>
        </w:rPr>
        <w:t xml:space="preserve">The cultural transmission framework argues that the demographic transition propagates not through individual rational responses to changed economic conditions but through the social learning of low-fertility norms, typically from higher-status to lower-status individuals (Bongaarts and Watkins, 1996; Cleland, 2001). Bongaarts and Watkins’s (1996) analysis of fertility decline across 69 countries showed that variation in the timing of decline was poorly predicted by economic indicators alone but well predicted by indicators of social interaction and information flow, lending support to a diffusion interpretation. Subsequent work has formalised this perspective within cultural evolutionary theory (Boyd and Richerson, 1985; Mesoudi, 2011), modelling fertility norms as transmissible cultural traits subject to prestige bias—preferential learning from high-status models—and to conformity bias, the tendency to adopt majority behaviours.</w:t>
      </w:r>
    </w:p>
    <w:p>
      <w:pPr>
        <w:spacing w:after="0" w:before="0" w:line="480"/>
        <w:ind w:firstLine="480"/>
        <w:jc w:val="both"/>
      </w:pPr>
      <w:r>
        <w:rPr>
          <w:rFonts w:ascii="Times New Roman" w:cs="Times New Roman" w:eastAsia="Times New Roman" w:hAnsi="Times New Roman"/>
          <w:sz w:val="24"/>
          <w:szCs w:val="24"/>
        </w:rPr>
        <w:t xml:space="preserve">Colleran (2016, 2020) has been particularly influential in arguing that the cultural-evolutionary account explains features of fertility decline that economic accounts struggle with: the rapidity of decline once it begins, the importance of community-level effects beyond individual circumstances, and the persistence of low fertility even where the economic conditions that initially favoured it have changed. Empirical support comes from studies showing that fertility behaviour clusters geographically and within social networks beyond what individual characteristics would predict (Watkins, 1991; Balbo and Barban, 2014), and from agent-based simulations that reproduce historical patterns of decline when calibrated with social-learning parameters (Colleran and Mace, 2015).</w:t>
      </w:r>
    </w:p>
    <w:p>
      <w:pPr>
        <w:spacing w:after="0" w:before="0" w:line="480"/>
        <w:ind w:firstLine="480"/>
        <w:jc w:val="both"/>
      </w:pPr>
      <w:r>
        <w:rPr>
          <w:rFonts w:ascii="Times New Roman" w:cs="Times New Roman" w:eastAsia="Times New Roman" w:hAnsi="Times New Roman"/>
          <w:sz w:val="24"/>
          <w:szCs w:val="24"/>
        </w:rPr>
        <w:t xml:space="preserve">The cultural transmission framework, if correct, implies that the SES–fertility gradient reflects the position of higher-SES individuals as cultural innovators or earlier adopters of low-fertility norms rather than their differential economic incentives per se. It predicts that the gradient should be steepest during the inversion phase of the transition and may flatten or reverse once low-fertility norms become near-universal. It also makes a distinctive prediction at the cross-country level: variation in the timing and depth of inversion should be predicted by indicators of cultural and informational transmission—secularisation, mass education, media penetration, urban–rural integration—rather than by economic indicators alone. This prediction is directly testable and forms the basis for H3 in this dissertation.</w:t>
      </w:r>
    </w:p>
    <w:p>
      <w:pPr>
        <w:spacing w:after="200" w:before="280"/>
      </w:pPr>
      <w:r>
        <w:rPr>
          <w:rFonts w:ascii="Times New Roman" w:cs="Times New Roman" w:eastAsia="Times New Roman" w:hAnsi="Times New Roman"/>
          <w:b/>
          <w:bCs/>
          <w:i/>
          <w:iCs/>
          <w:sz w:val="24"/>
          <w:szCs w:val="24"/>
        </w:rPr>
        <w:t xml:space="preserve">2.3.2 Quantity–Quality Tradeoff and Embodied Capital</w:t>
      </w:r>
    </w:p>
    <w:p>
      <w:pPr>
        <w:spacing w:after="0" w:before="0" w:line="480"/>
        <w:jc w:val="both"/>
      </w:pPr>
      <w:r>
        <w:rPr>
          <w:rFonts w:ascii="Times New Roman" w:cs="Times New Roman" w:eastAsia="Times New Roman" w:hAnsi="Times New Roman"/>
          <w:sz w:val="24"/>
          <w:szCs w:val="24"/>
        </w:rPr>
        <w:t xml:space="preserve">The quantity–quality framework, originating in Becker’s (1960) economic theory of fertility and developed for evolutionary purposes by Kaplan (1996; Kaplan and Lancaster, 2003), argues that modern parents face an unprecedented incentive to substitute investment per child for number of children. Under conditions of high returns to human capital, parents who concentrate resources on fewer children can produce offspring with substantially greater economic—and potentially reproductive—prospects than parents who spread resources thinly across many children. The framework treats fertility as a strategic allocation problem in which the optimal family size depends on the elasticity of child outcomes to parental investment.</w:t>
      </w:r>
    </w:p>
    <w:p>
      <w:pPr>
        <w:spacing w:after="0" w:before="0" w:line="480"/>
        <w:ind w:firstLine="480"/>
        <w:jc w:val="both"/>
      </w:pPr>
      <w:r>
        <w:rPr>
          <w:rFonts w:ascii="Times New Roman" w:cs="Times New Roman" w:eastAsia="Times New Roman" w:hAnsi="Times New Roman"/>
          <w:sz w:val="24"/>
          <w:szCs w:val="24"/>
        </w:rPr>
        <w:t xml:space="preserve">The framework is theoretically appealing because it provides a clear evolutionary logic for low fertility: if the marginal fitness return to a smaller number of well-invested offspring exceeds that of a larger number of less-invested offspring, natural selection should favour the smaller-family strategy. Lawson and Mace (2011) have argued for this position using sibling-competition evidence: children in larger families show reduced cognitive, educational, and health outcomes, consistent with resource dilution at the within-family level. Lutz and Skirbekk (2014) extended this argument by emphasising the recursive relationship between education and fertility: as education levels rise in a population, the returns to further investment in child quality increase, creating a self-reinforcing cycle in which educated parents invest heavily in fewer children, whose own high education then perpetuates low fertility in the next generation.</w:t>
      </w:r>
    </w:p>
    <w:p>
      <w:pPr>
        <w:spacing w:after="0" w:before="0" w:line="480"/>
        <w:ind w:firstLine="480"/>
        <w:jc w:val="both"/>
      </w:pPr>
      <w:r>
        <w:rPr>
          <w:rFonts w:ascii="Times New Roman" w:cs="Times New Roman" w:eastAsia="Times New Roman" w:hAnsi="Times New Roman"/>
          <w:sz w:val="24"/>
          <w:szCs w:val="24"/>
        </w:rPr>
        <w:t xml:space="preserve">The principal challenge to the framework is empirical. If quantity–quality substitution were operating optimally, we would expect the fertility–investment tradeoff to maximise long-run fitness measured in grandchildren or great-grandchildren rather than children. Goodman, Koupil, and Lawson (2012), using multigenerational Swedish data, found that low fertility increases descendant socioeconomic position but does not maximise long-run reproductive success—on the contrary, larger families produce more grandchildren on average, even after adjusting for the lower per-child outcomes. This finding suggests that the quantity–quality tradeoff, if it is occurring at all, is not actually maximising biological fitness, and therefore that an additional explanation is required for why parents systematically choose the high-investment strategy. The framework nonetheless remains centrally important for the present study because it makes a specific prediction about the individual-level mechanism: if the quantity–quality logic holds, education should depress fertility primarily through economic opportunity costs (the wage penalty of childbearing) rather than through changed attitudes or preferences. This prediction is tested directly in H4.</w:t>
      </w:r>
    </w:p>
    <w:p>
      <w:pPr>
        <w:spacing w:after="200" w:before="280"/>
      </w:pPr>
      <w:r>
        <w:rPr>
          <w:rFonts w:ascii="Times New Roman" w:cs="Times New Roman" w:eastAsia="Times New Roman" w:hAnsi="Times New Roman"/>
          <w:b/>
          <w:bCs/>
          <w:i/>
          <w:iCs/>
          <w:sz w:val="24"/>
          <w:szCs w:val="24"/>
        </w:rPr>
        <w:t xml:space="preserve">2.3.3 Maladaptation and Evolutionary Lag</w:t>
      </w:r>
    </w:p>
    <w:p>
      <w:pPr>
        <w:spacing w:after="0" w:before="0" w:line="480"/>
        <w:jc w:val="both"/>
      </w:pPr>
      <w:r>
        <w:rPr>
          <w:rFonts w:ascii="Times New Roman" w:cs="Times New Roman" w:eastAsia="Times New Roman" w:hAnsi="Times New Roman"/>
          <w:sz w:val="24"/>
          <w:szCs w:val="24"/>
        </w:rPr>
        <w:t xml:space="preserve">A third framework, less developed but recurrently invoked, treats modern low fertility as a maladaptive response to evolutionary novelty. On this view, the psychological mechanisms that historically converted resources into reproductive success—mate preferences, parental investment heuristics, status-seeking—are not well calibrated to modern conditions of effective contraception, extended education, urban living, and welfare provision (Pérusse, 1993; Kanazawa, 2003). Resources are diverted into status competition or consumption rather than reproduction, not because doing so maximises current fitness but because the underlying psychology was shaped by ancestral environments in which status and reproduction were tightly coupled.</w:t>
      </w:r>
    </w:p>
    <w:p>
      <w:pPr>
        <w:spacing w:after="0" w:before="0" w:line="480"/>
        <w:ind w:firstLine="480"/>
        <w:jc w:val="both"/>
      </w:pPr>
      <w:r>
        <w:rPr>
          <w:rFonts w:ascii="Times New Roman" w:cs="Times New Roman" w:eastAsia="Times New Roman" w:hAnsi="Times New Roman"/>
          <w:sz w:val="24"/>
          <w:szCs w:val="24"/>
        </w:rPr>
        <w:t xml:space="preserve">The maladaptation framework has the virtue of making sense of the multigenerational fitness evidence: if the demographic transition simply represents an evolutionary mismatch, there is no reason to expect long-run fitness to be maximised by current fertility behaviour. Its weakness is that it is often invoked descriptively rather than tested rigorously, and that it sits uneasily with evidence that fertility does respond to current economic conditions (Sobotka, Skirbekk, and Philipov, 2011), implying that the underlying psychology is not entirely insensitive to current circumstances. The framework is best understood as complementary to the cultural and economic accounts rather than a stand-alone alternative, and this dissertation does not test it directly. It enters the analysis indirectly: if neither cultural transmission nor quantity–quality mechanisms account for the observed gradient, the residual explanation is some form of mismatch, which would be consistent with the maladaptation view.</w:t>
      </w:r>
    </w:p>
    <w:p>
      <w:pPr>
        <w:spacing w:after="240" w:before="360"/>
      </w:pPr>
      <w:r>
        <w:rPr>
          <w:rFonts w:ascii="Times New Roman" w:cs="Times New Roman" w:eastAsia="Times New Roman" w:hAnsi="Times New Roman"/>
          <w:b/>
          <w:bCs/>
          <w:sz w:val="26"/>
          <w:szCs w:val="26"/>
        </w:rPr>
        <w:t xml:space="preserve">2.4 Non-Monotonicity, the J-Curve, and the U-Shape</w:t>
      </w:r>
    </w:p>
    <w:p>
      <w:pPr>
        <w:spacing w:after="0" w:before="0" w:line="480"/>
        <w:jc w:val="both"/>
      </w:pPr>
      <w:r>
        <w:rPr>
          <w:rFonts w:ascii="Times New Roman" w:cs="Times New Roman" w:eastAsia="Times New Roman" w:hAnsi="Times New Roman"/>
          <w:sz w:val="24"/>
          <w:szCs w:val="24"/>
        </w:rPr>
        <w:t xml:space="preserve">A more recent literature has questioned the assumption that the SES–fertility relationship is uniformly negative. Two distinct forms of non-monotonicity have been discussed, though the literature has not always distinguished them clearly. The first is the J-curve, in which the gradient is broadly negative but fertility revives at the very top of the SES distribution. The second, less frequently discussed, is a U-shape across the full distribution, in which individuals at both the bottom and the top of the SES distribution have higher fertility than those in the middle. The distinction matters both theoretically and empirically: a J-curve implies that the paradox is limited to the middle of the distribution and that resource–fertility conversion resumes at the top, while a U-shape implies a more complex pattern in which the middle of the educational distribution is distinctively constrained.</w:t>
      </w:r>
    </w:p>
    <w:p>
      <w:pPr>
        <w:spacing w:after="0" w:before="0" w:line="480"/>
        <w:ind w:firstLine="480"/>
        <w:jc w:val="both"/>
      </w:pPr>
      <w:r>
        <w:rPr>
          <w:rFonts w:ascii="Times New Roman" w:cs="Times New Roman" w:eastAsia="Times New Roman" w:hAnsi="Times New Roman"/>
          <w:sz w:val="24"/>
          <w:szCs w:val="24"/>
        </w:rPr>
        <w:t xml:space="preserve">Hopcroft (2006, 2015), using US General Social Survey data, reported positive fertility–income gradients among married high-income men alongside negative gradients overall, and interpreted this as evidence that the paradox is partly an artefact of pooling married and unmarried individuals. Fieder and Huber (2007) found positive fertility–status relationships among men in contemporary Swedish data once unmarried childlessness was accounted for. Nettle and Pollet (2008) found similar patterns across several Western populations. These studies collectively suggested that the negative gradient might reverse at high SES, but they relied predominantly on income as the SES measure and on male fertility, leaving open the question of whether the same pattern holds when education is used as the stratifying variable and when female or total fertility is examined.</w:t>
      </w:r>
    </w:p>
    <w:p>
      <w:pPr>
        <w:spacing w:after="0" w:before="0" w:line="480"/>
        <w:ind w:firstLine="480"/>
        <w:jc w:val="both"/>
      </w:pPr>
      <w:r>
        <w:rPr>
          <w:rFonts w:ascii="Times New Roman" w:cs="Times New Roman" w:eastAsia="Times New Roman" w:hAnsi="Times New Roman"/>
          <w:sz w:val="24"/>
          <w:szCs w:val="24"/>
        </w:rPr>
        <w:t xml:space="preserve">Stulp and Barrett (2016) provide the most systematic review of this evidence. They conclude that the relationship is heterogeneous across populations, sub-groups, and historical periods, and that simple statements of either a negative or a positive gradient obscure considerable underlying variation. They argue, importantly, that the question of whether the modern SES–fertility relationship constitutes a paradox depends on which sub-population and which fertility measure is examined: gradients differ between men and women, between married and unmarried individuals, and between completed cohort fertility and period-based measures. Their review implicitly raises the possibility that a U-shaped pattern—rather than a simple J-curve—may characterise the education–fertility relationship in some populations, particularly when education rather than income is used as the stratifying variable and when women are the focus of analysis.</w:t>
      </w:r>
    </w:p>
    <w:p>
      <w:pPr>
        <w:spacing w:after="0" w:before="0" w:line="480"/>
        <w:ind w:firstLine="480"/>
        <w:jc w:val="both"/>
      </w:pPr>
      <w:r>
        <w:rPr>
          <w:rFonts w:ascii="Times New Roman" w:cs="Times New Roman" w:eastAsia="Times New Roman" w:hAnsi="Times New Roman"/>
          <w:sz w:val="24"/>
          <w:szCs w:val="24"/>
        </w:rPr>
        <w:t xml:space="preserve">The theoretical implications of non-monotonicity are substantial regardless of its precise form. If fertility is elevated at both ends of the educational distribution relative to its middle, this suggests that different mechanisms may operate at different points in the distribution. At the lower end, compositional factors—younger age at first birth, lower contraceptive use, less labour-market attachment—may sustain higher fertility for reasons unrelated to evolved resource-conversion psychology. At the upper end, the combination of greater financial resources, access to assisted reproduction, and partner availability may permit the expression of latent fertility preferences that are suppressed in the middle of the distribution where the squeeze between educational demands, career building, and biological clocks is most acute. The middle of the distribution, on this reading, faces the strongest version of the quantity–quality tradeoff and the most intense conflict between the timing demands of education and of reproduction.</w:t>
      </w:r>
    </w:p>
    <w:p>
      <w:pPr>
        <w:spacing w:after="0" w:before="0" w:line="480"/>
        <w:ind w:firstLine="480"/>
        <w:jc w:val="both"/>
      </w:pPr>
      <w:r>
        <w:rPr>
          <w:rFonts w:ascii="Times New Roman" w:cs="Times New Roman" w:eastAsia="Times New Roman" w:hAnsi="Times New Roman"/>
          <w:sz w:val="24"/>
          <w:szCs w:val="24"/>
        </w:rPr>
        <w:t xml:space="preserve">Despite the importance of these questions, the non-monotonicity literature remains methodologically uneven. Few studies use education-stratified fertility rates—arguably the most appropriate outcome for assessing systematic patterns in reproductive behaviour across social groups—across multiple countries, and modern distributional methods such as quantile regression or non-parametric splines are rarely deployed. Most published evidence relies on cross-sectional surveys, single-country designs, or period-based measures that conflate tempo and quantum effects, leaving the cross-national robustness of both the J-curve and any broader U-shape substantially unsettled. A multi-country analysis using formal distributional methods would constitute a meaningful advance.</w:t>
      </w:r>
    </w:p>
    <w:p>
      <w:pPr>
        <w:spacing w:after="240" w:before="360"/>
      </w:pPr>
      <w:r>
        <w:rPr>
          <w:rFonts w:ascii="Times New Roman" w:cs="Times New Roman" w:eastAsia="Times New Roman" w:hAnsi="Times New Roman"/>
          <w:b/>
          <w:bCs/>
          <w:sz w:val="26"/>
          <w:szCs w:val="26"/>
        </w:rPr>
        <w:t xml:space="preserve">2.5 Individual-Level Mechanism Studies</w:t>
      </w:r>
    </w:p>
    <w:p>
      <w:pPr>
        <w:spacing w:after="0" w:before="0" w:line="480"/>
        <w:jc w:val="both"/>
      </w:pPr>
      <w:r>
        <w:rPr>
          <w:rFonts w:ascii="Times New Roman" w:cs="Times New Roman" w:eastAsia="Times New Roman" w:hAnsi="Times New Roman"/>
          <w:sz w:val="24"/>
          <w:szCs w:val="24"/>
        </w:rPr>
        <w:t xml:space="preserve">Alongside the aggregate and cross-country literature, a body of work has examined the individual-level mechanisms by which education depresses fertility. This literature is directly relevant to H4, which tests whether the education effect operates primarily through attitudinal or economic pathways. Three principal pathways have been identified.</w:t>
      </w:r>
    </w:p>
    <w:p>
      <w:pPr>
        <w:spacing w:after="0" w:before="0" w:line="480"/>
        <w:ind w:firstLine="480"/>
        <w:jc w:val="both"/>
      </w:pPr>
      <w:r>
        <w:rPr>
          <w:rFonts w:ascii="Times New Roman" w:cs="Times New Roman" w:eastAsia="Times New Roman" w:hAnsi="Times New Roman"/>
          <w:sz w:val="24"/>
          <w:szCs w:val="24"/>
        </w:rPr>
        <w:t xml:space="preserve">The first is the enrolment effect, which operates through the timing of family formation: extended schooling postpones childbearing, contributing to tempo effects and sometimes leading to unintended childlessness when postponement extends past the biologically feasible window. Berrington (2017), using the BCS70 cohort, examined the divergence between fertility intentions and realised fertility among women born in 1970, showing that delayed childbearing increasingly resulted in unintended childlessness for highly educated women. This pattern implies that part of the education–fertility gradient is an unintended consequence of biographical timing rather than a deliberate fertility preference, a distinction that matters for both theoretical interpretation and policy response.</w:t>
      </w:r>
    </w:p>
    <w:p>
      <w:pPr>
        <w:spacing w:after="0" w:before="0" w:line="480"/>
        <w:ind w:firstLine="480"/>
        <w:jc w:val="both"/>
      </w:pPr>
      <w:r>
        <w:rPr>
          <w:rFonts w:ascii="Times New Roman" w:cs="Times New Roman" w:eastAsia="Times New Roman" w:hAnsi="Times New Roman"/>
          <w:sz w:val="24"/>
          <w:szCs w:val="24"/>
        </w:rPr>
        <w:t xml:space="preserve">The second is the opportunity cost effect, which operates through forgone earnings: higher education increases the wage cost of time spent on childbearing and childrearing, providing an economic incentive to limit family size. This pathway is the mechanism emphasised by the quantity–quality framework and predicts that the education effect should be mediated by realised earnings or labour-market attachment. If the opportunity cost channel dominates, interventions that reduce the wage penalty of motherhood (subsidised childcare, parental leave, flexible working arrangements) should weaken the education–fertility gradient.</w:t>
      </w:r>
    </w:p>
    <w:p>
      <w:pPr>
        <w:spacing w:after="0" w:before="0" w:line="480"/>
        <w:ind w:firstLine="480"/>
        <w:jc w:val="both"/>
      </w:pPr>
      <w:r>
        <w:rPr>
          <w:rFonts w:ascii="Times New Roman" w:cs="Times New Roman" w:eastAsia="Times New Roman" w:hAnsi="Times New Roman"/>
          <w:sz w:val="24"/>
          <w:szCs w:val="24"/>
        </w:rPr>
        <w:t xml:space="preserve">The third is the preference effect, which operates through values and attitudes: education changes views on gender roles, individual autonomy, ideal family size, and the relative importance of career and family. This pathway is the mechanism emphasised by the cultural transmission framework. Skirbekk (2008) reviews this literature comprehensively, noting that cross-sectional evidence consistently shows that more educated individuals report smaller ideal family sizes and more egalitarian gender attitudes, but that causal identification is weak because the same unobserved traits that drive educational attainment may independently shape fertility preferences.</w:t>
      </w:r>
    </w:p>
    <w:p>
      <w:pPr>
        <w:spacing w:after="0" w:before="0" w:line="480"/>
        <w:ind w:firstLine="480"/>
        <w:jc w:val="both"/>
      </w:pPr>
      <w:r>
        <w:rPr>
          <w:rFonts w:ascii="Times New Roman" w:cs="Times New Roman" w:eastAsia="Times New Roman" w:hAnsi="Times New Roman"/>
          <w:sz w:val="24"/>
          <w:szCs w:val="24"/>
        </w:rPr>
        <w:t xml:space="preserve">Disentangling these pathways is methodologically demanding because the endogeneity of education makes naïve regressions of fertility on education unreliable—unobserved characteristics such as cognitive ability, time preference, and family background may drive both educational attainment and fertility outcomes. Studies using quasi-experimental variation in education, particularly compulsory schooling reforms, have found that exogenous increases in education do reduce fertility, but the estimated effects are smaller than the cross-sectional associations and operate primarily on timing rather than on completed fertility (Monstad, Propper, and Salvanes, 2008; Cygan-Rehm and Maeder, 2013). This pattern is consistent with a substantial role for the enrolment effect but suggests that the opportunity cost and preference effects are smaller than naïve estimates imply.</w:t>
      </w:r>
    </w:p>
    <w:p>
      <w:pPr>
        <w:spacing w:after="0" w:before="0" w:line="480"/>
        <w:ind w:firstLine="480"/>
        <w:jc w:val="both"/>
      </w:pPr>
      <w:r>
        <w:rPr>
          <w:rFonts w:ascii="Times New Roman" w:cs="Times New Roman" w:eastAsia="Times New Roman" w:hAnsi="Times New Roman"/>
          <w:sz w:val="24"/>
          <w:szCs w:val="24"/>
        </w:rPr>
        <w:t xml:space="preserve">Snopkowski and Sear (2013), using Indonesian data, found that the attitudinal pathway was substantially more important than the economic pathway in predicting fertility intentions among educated women, supporting cultural transmission interpretations. However, their analysis was cross-sectional, intention-based rather than outcome-based, and conducted in a middle-income developing-country context, leaving open the question of whether the same ranking of pathways holds in high-income Western populations where labour markets are more developed and the opportunity cost of childbearing is correspondingly higher.</w:t>
      </w:r>
    </w:p>
    <w:p>
      <w:pPr>
        <w:spacing w:after="0" w:before="0" w:line="480"/>
        <w:ind w:firstLine="480"/>
        <w:jc w:val="both"/>
      </w:pPr>
      <w:r>
        <w:rPr>
          <w:rFonts w:ascii="Times New Roman" w:cs="Times New Roman" w:eastAsia="Times New Roman" w:hAnsi="Times New Roman"/>
          <w:sz w:val="24"/>
          <w:szCs w:val="24"/>
        </w:rPr>
        <w:t xml:space="preserve">Modern causal inference methods offer the possibility of more rigorous decomposition. The double machine learning framework (Chernozhukov et al., 2018) addresses the high-dimensional confounding problem by using flexible machine-learning algorithms to partial out the effects of a large number of pre-treatment covariates before estimating the causal effect of the treatment (education) on the outcome (fertility). Combined with sequential mediation analysis, this approach permits a decomposition of the total education effect into direct and indirect components operating through specific pathways—attitudinal, economic, and partner-related—while controlling for pre-treatment confounding more rigorously than traditional linear mediation models allow. The British cohort studies, and BCS70 in particular, are well suited to such an analysis because they provide longitudinal measures of attitudes, earnings, and partnership formation alongside essentially complete fertility outcomes at Age 51. Despite this suitability, formal causal mediation analyses of the education–fertility relationship using these methods on the BCS70 cohort remain, to my knowledge, unpublished.</w:t>
      </w:r>
    </w:p>
    <w:p>
      <w:pPr>
        <w:spacing w:after="240" w:before="360"/>
      </w:pPr>
      <w:r>
        <w:rPr>
          <w:rFonts w:ascii="Times New Roman" w:cs="Times New Roman" w:eastAsia="Times New Roman" w:hAnsi="Times New Roman"/>
          <w:b/>
          <w:bCs/>
          <w:sz w:val="26"/>
          <w:szCs w:val="26"/>
        </w:rPr>
        <w:t xml:space="preserve">2.6 Gaps in the Literature and Contribution of This Study</w:t>
      </w:r>
    </w:p>
    <w:p>
      <w:pPr>
        <w:spacing w:after="0" w:before="0" w:line="480"/>
        <w:jc w:val="both"/>
      </w:pPr>
      <w:r>
        <w:rPr>
          <w:rFonts w:ascii="Times New Roman" w:cs="Times New Roman" w:eastAsia="Times New Roman" w:hAnsi="Times New Roman"/>
          <w:sz w:val="24"/>
          <w:szCs w:val="24"/>
        </w:rPr>
        <w:t xml:space="preserve">Three principal gaps in the existing literature motivate this dissertation.</w:t>
      </w:r>
    </w:p>
    <w:p>
      <w:pPr>
        <w:spacing w:after="0" w:before="0" w:line="480"/>
        <w:ind w:firstLine="480"/>
        <w:jc w:val="both"/>
      </w:pPr>
      <w:r>
        <w:rPr>
          <w:rFonts w:ascii="Times New Roman" w:cs="Times New Roman" w:eastAsia="Times New Roman" w:hAnsi="Times New Roman"/>
          <w:sz w:val="24"/>
          <w:szCs w:val="24"/>
        </w:rPr>
        <w:t xml:space="preserve">First, despite the theoretical importance of non-monotonicity in the SES–fertility relationship, systematic tests using education-stratified fertility data across multiple European countries are lacking. The existing evidence is fragmentary, drawn from different countries with different methodologies, and rarely uses formal distributional methods to characterise the full shape of the gradient. Neither the J-curve hypothesis specifically nor the possibility of a broader U-shape has been tested with quantile regression or parametric non-linearity methods across a multi-country panel. A cross-national analysis using such methods would constitute a meaningful advance on the existing evidence base, regardless of which form of non-monotonicity, if any, it finds.</w:t>
      </w:r>
    </w:p>
    <w:p>
      <w:pPr>
        <w:spacing w:after="0" w:before="0" w:line="480"/>
        <w:ind w:firstLine="480"/>
        <w:jc w:val="both"/>
      </w:pPr>
      <w:r>
        <w:rPr>
          <w:rFonts w:ascii="Times New Roman" w:cs="Times New Roman" w:eastAsia="Times New Roman" w:hAnsi="Times New Roman"/>
          <w:sz w:val="24"/>
          <w:szCs w:val="24"/>
        </w:rPr>
        <w:t xml:space="preserve">Second, the existing literature on cross-country variation in the SES–fertility gradient tends to test economic and cultural explanations with a small number of pre-selected covariates in small-sample country-level regressions, an approach that risks both omitted-variable bias and overfitting. A principled high-dimensional analysis using regularised machine learning combined with interpretable variable-importance methods (Athey and Wager, 2019; Lundberg and Lee, 2017) followed by formal Bayesian estimation of the effects identified as substantively important would represent a methodological advance and may yield substantive insight into the relative weight of cultural and economic mechanisms. The two-stage design—exploratory discovery via flexible models, confirmatory inference via Bayesian models with informative priors and proper uncertainty quantification—addresses a recurrent criticism of machine learning in social science, namely that flexible predictive models are difficult to interpret causally. By separating the discovery and inference stages, this dissertation demonstrates that modern computational tools can be deployed responsibly in service of substantive social-science questions.</w:t>
      </w:r>
    </w:p>
    <w:p>
      <w:pPr>
        <w:spacing w:after="0" w:before="0" w:line="480"/>
        <w:ind w:firstLine="480"/>
        <w:jc w:val="both"/>
      </w:pPr>
      <w:r>
        <w:rPr>
          <w:rFonts w:ascii="Times New Roman" w:cs="Times New Roman" w:eastAsia="Times New Roman" w:hAnsi="Times New Roman"/>
          <w:sz w:val="24"/>
          <w:szCs w:val="24"/>
        </w:rPr>
        <w:t xml:space="preserve">Third, the individual-level mediation of education’s effect on fertility has been examined in fragmented form but has rarely been subjected to formal causal mediation analysis using modern methods for handling high-dimensional confounding. The BCS70 cohort, with its rich attitudinal and longitudinal economic measures and its recently released Age 51 sweep providing essentially complete fertility outcomes, is well suited to such an analysis but has not yet, to my knowledge, been used for this purpose. The gap is particularly notable given the theoretical importance of distinguishing between attitudinal and economic pathways: if the cultural transmission account is correct, attitudes should be the dominant mediator; if the quantity–quality account is correct, earnings and opportunity costs should dominate. A clean mediation decomposition using double machine learning would provide empirical evidence to adjudicate between these long-standing theoretical claims.</w:t>
      </w:r>
    </w:p>
    <w:p>
      <w:pPr>
        <w:spacing w:after="0" w:before="0" w:line="480"/>
        <w:ind w:firstLine="480"/>
        <w:jc w:val="both"/>
      </w:pPr>
      <w:r>
        <w:rPr>
          <w:rFonts w:ascii="Times New Roman" w:cs="Times New Roman" w:eastAsia="Times New Roman" w:hAnsi="Times New Roman"/>
          <w:sz w:val="24"/>
          <w:szCs w:val="24"/>
        </w:rPr>
        <w:t xml:space="preserve">This dissertation addresses each of these gaps. H1 establishes the descriptive pattern of the education–fertility gradient across European countries using education-stratified period fertility data. H2 tests for non-monotonicity formally using quadratic specifications and quantile regression. H3 conducts a high-dimensional comparison of cultural and economic explanations of cross-country variation using interpretable machine learning followed by Bayesian hierarchical modelling. H4 conducts an individual-level mediation analysis of the education–fertility relationship using double machine learning on the BCS70 cohort. Together, these analyses are intended to provide a more rigorous and theoretically integrated account of the contemporary SES–fertility gradient than has hitherto been available, and to contribute empirically to the long-running debate over how the demographic transition fitness paradox should be understood and ultimately explained.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Chapter 2: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 Literature Review</dc:title>
  <dc:creator>MSc Applied Social Data Science Dissertation</dc:creator>
  <cp:lastModifiedBy>Un-named</cp:lastModifiedBy>
  <cp:revision>1</cp:revision>
  <dcterms:created xsi:type="dcterms:W3CDTF">2026-05-25T22:01:19.858Z</dcterms:created>
  <dcterms:modified xsi:type="dcterms:W3CDTF">2026-05-25T22:01:19.872Z</dcterms:modified>
</cp:coreProperties>
</file>

<file path=docProps/custom.xml><?xml version="1.0" encoding="utf-8"?>
<Properties xmlns="http://schemas.openxmlformats.org/officeDocument/2006/custom-properties" xmlns:vt="http://schemas.openxmlformats.org/officeDocument/2006/docPropsVTypes"/>
</file>