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left"/>
      </w:pPr>
      <w:r>
        <w:rPr>
          <w:rFonts w:ascii="Calibri" w:cs="Calibri" w:eastAsia="Calibri" w:hAnsi="Calibri"/>
          <w:b/>
          <w:bCs/>
          <w:color w:val="C0392B"/>
          <w:sz w:val="18"/>
          <w:szCs w:val="18"/>
        </w:rPr>
        <w:t xml:space="preserve">CONFIDENTIAL</w:t>
      </w:r>
    </w:p>
    <w:p>
      <w:pPr>
        <w:spacing w:after="100" w:before="200"/>
      </w:pPr>
      <w:r>
        <w:rPr>
          <w:rFonts w:ascii="Calibri" w:cs="Calibri" w:eastAsia="Calibri" w:hAnsi="Calibri"/>
          <w:b/>
          <w:bCs/>
          <w:color w:val="1A2B4C"/>
          <w:sz w:val="56"/>
          <w:szCs w:val="56"/>
        </w:rPr>
        <w:t xml:space="preserve">Enterprise Credit Risk</w:t>
      </w:r>
    </w:p>
    <w:p>
      <w:pPr>
        <w:spacing w:after="400"/>
      </w:pPr>
      <w:r>
        <w:rPr>
          <w:rFonts w:ascii="Calibri" w:cs="Calibri" w:eastAsia="Calibri" w:hAnsi="Calibri"/>
          <w:b/>
          <w:bCs/>
          <w:color w:val="1A2B4C"/>
          <w:sz w:val="56"/>
          <w:szCs w:val="56"/>
        </w:rPr>
        <w:t xml:space="preserve">&amp; Portfolio Analytics</w:t>
      </w:r>
    </w:p>
    <w:p>
      <w:pPr>
        <w:spacing w:after="800"/>
      </w:pPr>
      <w:r>
        <w:rPr>
          <w:rFonts w:ascii="Calibri" w:cs="Calibri" w:eastAsia="Calibri" w:hAnsi="Calibri"/>
          <w:color w:val="595959"/>
          <w:sz w:val="24"/>
          <w:szCs w:val="24"/>
        </w:rPr>
        <w:t xml:space="preserve">Executive Summary — Portfolio Risk Assessment, Predictive Modeling &amp; Forward Outlook</w:t>
      </w:r>
    </w:p>
    <w:p>
      <w:pPr>
        <w:spacing w:before="3000"/>
      </w:pPr>
      <w:r>
        <w:rPr>
          <w:rFonts w:ascii="Calibri" w:cs="Calibri" w:eastAsia="Calibri" w:hAnsi="Calibri"/>
          <w:color w:val="595959"/>
          <w:sz w:val="20"/>
          <w:szCs w:val="20"/>
        </w:rPr>
        <w:t xml:space="preserve">Prepared by: Rounak Pyne, Business Analyst</w:t>
      </w:r>
    </w:p>
    <w:p>
      <w:r>
        <w:rPr>
          <w:rFonts w:ascii="Calibri" w:cs="Calibri" w:eastAsia="Calibri" w:hAnsi="Calibri"/>
          <w:color w:val="595959"/>
          <w:sz w:val="20"/>
          <w:szCs w:val="20"/>
        </w:rPr>
        <w:t xml:space="preserve">Data as of: December 2025</w:t>
      </w:r>
    </w:p>
    <w:p>
      <w:pPr>
        <w:sectPr>
          <w:pgSz w:w="12240" w:h="15840" w:orient="portrait"/>
          <w:pgMar w:top="1440" w:right="1440" w:bottom="1440" w:left="1440" w:header="708" w:footer="708" w:gutter="0"/>
          <w:pgNumType/>
          <w:docGrid w:linePitch="360"/>
        </w:sectPr>
      </w:pPr>
    </w:p>
    <w:p>
      <w:pPr>
        <w:pStyle w:val="Heading1"/>
        <w:spacing w:after="160" w:before="300"/>
      </w:pPr>
      <w:r>
        <w:rPr>
          <w:rFonts w:ascii="Calibri" w:cs="Calibri" w:eastAsia="Calibri" w:hAnsi="Calibri"/>
          <w:b/>
          <w:bCs/>
          <w:color w:val="1A2B4C"/>
          <w:sz w:val="30"/>
          <w:szCs w:val="30"/>
        </w:rPr>
        <w:t xml:space="preserve">1. Executive Summary</w:t>
      </w:r>
    </w:p>
    <w:p>
      <w:pPr>
        <w:spacing w:after="140" w:line="276"/>
      </w:pPr>
      <w:r>
        <w:rPr>
          <w:rFonts w:ascii="Calibri" w:cs="Calibri" w:eastAsia="Calibri" w:hAnsi="Calibri"/>
          <w:color w:val="222222"/>
          <w:sz w:val="21"/>
          <w:szCs w:val="21"/>
        </w:rPr>
        <w:t xml:space="preserve">This report presents an end-to-end analysis of a 20,000-account credit portfolio, built to answer five core questions: which customers are most likely to default, what drives that risk, which segments are riskiest, how effective collections efforts are, and what the portfolio's risk trajectory looks like over the next six months.</w:t>
      </w:r>
    </w:p>
    <w:p>
      <w:pPr>
        <w:spacing w:after="140" w:line="276"/>
      </w:pPr>
      <w:r>
        <w:rPr>
          <w:rFonts w:ascii="Calibri" w:cs="Calibri" w:eastAsia="Calibri" w:hAnsi="Calibri"/>
          <w:color w:val="222222"/>
          <w:sz w:val="21"/>
          <w:szCs w:val="21"/>
        </w:rPr>
        <w:t xml:space="preserve">The analysis combines SQL-based portfolio analytics, exploratory data analysis in Python, a predictive Logistic Regression model (83% ROC-AUC), and a six-month ARIMA forecast, delivered through a seven-page interactive Power BI dashboard.</w:t>
      </w:r>
    </w:p>
    <w:p>
      <w:pPr>
        <w:pStyle w:val="Heading2"/>
        <w:spacing w:after="120" w:before="220"/>
      </w:pPr>
      <w:r>
        <w:rPr>
          <w:rFonts w:ascii="Calibri" w:cs="Calibri" w:eastAsia="Calibri" w:hAnsi="Calibri"/>
          <w:b/>
          <w:bCs/>
          <w:color w:val="1A2B4C"/>
          <w:sz w:val="24"/>
          <w:szCs w:val="24"/>
        </w:rPr>
        <w:t xml:space="preserve">Headline Findings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pct" w:w="25%"/>
            <w:tcBorders>
              <w:top w:val="single" w:color="D9D9D9" w:sz="2"/>
              <w:left w:val="single" w:color="D9D9D9" w:sz="2"/>
              <w:bottom w:val="single" w:color="D9D9D9" w:sz="2"/>
              <w:right w:val="single" w:color="D9D9D9" w:sz="2"/>
            </w:tcBorders>
            <w:shd w:fill="F2F2F2" w:val="clear"/>
            <w:tcMar>
              <w:top w:type="dxa" w:w="160"/>
              <w:left w:type="dxa" w:w="120"/>
              <w:bottom w:type="dxa" w:w="160"/>
              <w:right w:type="dxa" w:w="120"/>
            </w:tcMar>
          </w:tcPr>
          <w:p>
            <w:pPr>
              <w:spacing w:after="60"/>
              <w:jc w:val="center"/>
            </w:pPr>
            <w:r>
              <w:rPr>
                <w:rFonts w:ascii="Calibri" w:cs="Calibri" w:eastAsia="Calibri" w:hAnsi="Calibri"/>
                <w:b/>
                <w:bCs/>
                <w:color w:val="1A2B4C"/>
                <w:sz w:val="30"/>
                <w:szCs w:val="30"/>
              </w:rPr>
              <w:t xml:space="preserve">₹15.51bn</w:t>
            </w:r>
          </w:p>
          <w:p>
            <w:pPr>
              <w:jc w:val="center"/>
            </w:pPr>
            <w:r>
              <w:rPr>
                <w:rFonts w:ascii="Calibri" w:cs="Calibri" w:eastAsia="Calibri" w:hAnsi="Calibri"/>
                <w:color w:val="595959"/>
                <w:sz w:val="17"/>
                <w:szCs w:val="17"/>
              </w:rPr>
              <w:t xml:space="preserve">Total Exposure</w:t>
            </w:r>
          </w:p>
        </w:tc>
        <w:tc>
          <w:tcPr>
            <w:tcW w:type="pct" w:w="25%"/>
            <w:tcBorders>
              <w:top w:val="single" w:color="D9D9D9" w:sz="2"/>
              <w:left w:val="single" w:color="D9D9D9" w:sz="2"/>
              <w:bottom w:val="single" w:color="D9D9D9" w:sz="2"/>
              <w:right w:val="single" w:color="D9D9D9" w:sz="2"/>
            </w:tcBorders>
            <w:shd w:fill="F2F2F2" w:val="clear"/>
            <w:tcMar>
              <w:top w:type="dxa" w:w="160"/>
              <w:left w:type="dxa" w:w="120"/>
              <w:bottom w:type="dxa" w:w="160"/>
              <w:right w:type="dxa" w:w="120"/>
            </w:tcMar>
          </w:tcPr>
          <w:p>
            <w:pPr>
              <w:spacing w:after="60"/>
              <w:jc w:val="center"/>
            </w:pPr>
            <w:r>
              <w:rPr>
                <w:rFonts w:ascii="Calibri" w:cs="Calibri" w:eastAsia="Calibri" w:hAnsi="Calibri"/>
                <w:b/>
                <w:bCs/>
                <w:color w:val="1A2B4C"/>
                <w:sz w:val="30"/>
                <w:szCs w:val="30"/>
              </w:rPr>
              <w:t xml:space="preserve">0.83</w:t>
            </w:r>
          </w:p>
          <w:p>
            <w:pPr>
              <w:jc w:val="center"/>
            </w:pPr>
            <w:r>
              <w:rPr>
                <w:rFonts w:ascii="Calibri" w:cs="Calibri" w:eastAsia="Calibri" w:hAnsi="Calibri"/>
                <w:color w:val="595959"/>
                <w:sz w:val="17"/>
                <w:szCs w:val="17"/>
              </w:rPr>
              <w:t xml:space="preserve">Model ROC-AUC</w:t>
            </w:r>
          </w:p>
        </w:tc>
        <w:tc>
          <w:tcPr>
            <w:tcW w:type="pct" w:w="25%"/>
            <w:tcBorders>
              <w:top w:val="single" w:color="D9D9D9" w:sz="2"/>
              <w:left w:val="single" w:color="D9D9D9" w:sz="2"/>
              <w:bottom w:val="single" w:color="D9D9D9" w:sz="2"/>
              <w:right w:val="single" w:color="D9D9D9" w:sz="2"/>
            </w:tcBorders>
            <w:shd w:fill="F2F2F2" w:val="clear"/>
            <w:tcMar>
              <w:top w:type="dxa" w:w="160"/>
              <w:left w:type="dxa" w:w="120"/>
              <w:bottom w:type="dxa" w:w="160"/>
              <w:right w:type="dxa" w:w="120"/>
            </w:tcMar>
          </w:tcPr>
          <w:p>
            <w:pPr>
              <w:spacing w:after="60"/>
              <w:jc w:val="center"/>
            </w:pPr>
            <w:r>
              <w:rPr>
                <w:rFonts w:ascii="Calibri" w:cs="Calibri" w:eastAsia="Calibri" w:hAnsi="Calibri"/>
                <w:b/>
                <w:bCs/>
                <w:color w:val="1A2B4C"/>
                <w:sz w:val="30"/>
                <w:szCs w:val="30"/>
              </w:rPr>
              <w:t xml:space="preserve">51.95%</w:t>
            </w:r>
          </w:p>
          <w:p>
            <w:pPr>
              <w:jc w:val="center"/>
            </w:pPr>
            <w:r>
              <w:rPr>
                <w:rFonts w:ascii="Calibri" w:cs="Calibri" w:eastAsia="Calibri" w:hAnsi="Calibri"/>
                <w:color w:val="595959"/>
                <w:sz w:val="17"/>
                <w:szCs w:val="17"/>
              </w:rPr>
              <w:t xml:space="preserve">Default Rate</w:t>
            </w:r>
          </w:p>
        </w:tc>
        <w:tc>
          <w:tcPr>
            <w:tcW w:type="pct" w:w="25%"/>
            <w:tcBorders>
              <w:top w:val="single" w:color="D9D9D9" w:sz="2"/>
              <w:left w:val="single" w:color="D9D9D9" w:sz="2"/>
              <w:bottom w:val="single" w:color="D9D9D9" w:sz="2"/>
              <w:right w:val="single" w:color="D9D9D9" w:sz="2"/>
            </w:tcBorders>
            <w:shd w:fill="F2F2F2" w:val="clear"/>
            <w:tcMar>
              <w:top w:type="dxa" w:w="160"/>
              <w:left w:type="dxa" w:w="120"/>
              <w:bottom w:type="dxa" w:w="160"/>
              <w:right w:type="dxa" w:w="120"/>
            </w:tcMar>
          </w:tcPr>
          <w:p>
            <w:pPr>
              <w:spacing w:after="60"/>
              <w:jc w:val="center"/>
            </w:pPr>
            <w:r>
              <w:rPr>
                <w:rFonts w:ascii="Calibri" w:cs="Calibri" w:eastAsia="Calibri" w:hAnsi="Calibri"/>
                <w:b/>
                <w:bCs/>
                <w:color w:val="1A2B4C"/>
                <w:sz w:val="30"/>
                <w:szCs w:val="30"/>
              </w:rPr>
              <w:t xml:space="preserve">Stable ~11%</w:t>
            </w:r>
          </w:p>
          <w:p>
            <w:pPr>
              <w:jc w:val="center"/>
            </w:pPr>
            <w:r>
              <w:rPr>
                <w:rFonts w:ascii="Calibri" w:cs="Calibri" w:eastAsia="Calibri" w:hAnsi="Calibri"/>
                <w:color w:val="595959"/>
                <w:sz w:val="17"/>
                <w:szCs w:val="17"/>
              </w:rPr>
              <w:t xml:space="preserve">Forecast Trend</w:t>
            </w:r>
          </w:p>
        </w:tc>
      </w:tr>
    </w:tbl>
    <w:p>
      <w:pPr>
        <w:spacing w:after="140" w:line="276"/>
      </w:pPr>
      <w:r>
        <w:rPr>
          <w:rFonts w:ascii="Calibri" w:cs="Calibri" w:eastAsia="Calibri" w:hAnsi="Calibri"/>
          <w:color w:val="222222"/>
          <w:sz w:val="21"/>
          <w:szCs w:val="21"/>
        </w:rPr>
        <w:t xml:space="preserve"/>
      </w:r>
    </w:p>
    <w:p>
      <w:pPr>
        <w:spacing w:after="140" w:line="276"/>
      </w:pPr>
      <w:r>
        <w:rPr>
          <w:rFonts w:ascii="Calibri" w:cs="Calibri" w:eastAsia="Calibri" w:hAnsi="Calibri"/>
          <w:color w:val="222222"/>
          <w:sz w:val="21"/>
          <w:szCs w:val="21"/>
        </w:rPr>
        <w:t xml:space="preserve">The portfolio's risk is stable rather than deteriorating. Days Past Due and Utilization Ratio are the dominant, well-validated drivers of default, fraud history compounds risk sharply, and — notably — customer demographics (city, occupation, age, income) show almost no relationship to default outcomes. This points toward a clear strategic conclusion: risk management should be built around behavioral signals, not demographic profiling.</w:t>
      </w:r>
    </w:p>
    <w:p>
      <w:r>
        <w:br w:type="page"/>
      </w:r>
    </w:p>
    <w:p>
      <w:pPr>
        <w:pStyle w:val="Heading1"/>
        <w:spacing w:after="160" w:before="300"/>
      </w:pPr>
      <w:r>
        <w:rPr>
          <w:rFonts w:ascii="Calibri" w:cs="Calibri" w:eastAsia="Calibri" w:hAnsi="Calibri"/>
          <w:b/>
          <w:bCs/>
          <w:color w:val="1A2B4C"/>
          <w:sz w:val="30"/>
          <w:szCs w:val="30"/>
        </w:rPr>
        <w:t xml:space="preserve">2. Business Context &amp; Objectives</w:t>
      </w:r>
    </w:p>
    <w:p>
      <w:pPr>
        <w:spacing w:after="140" w:line="276"/>
      </w:pPr>
      <w:r>
        <w:rPr>
          <w:rFonts w:ascii="Calibri" w:cs="Calibri" w:eastAsia="Calibri" w:hAnsi="Calibri"/>
          <w:color w:val="222222"/>
          <w:sz w:val="21"/>
          <w:szCs w:val="21"/>
        </w:rPr>
        <w:t xml:space="preserve">The institution has observed rising defaults, increasing delinquency, growing fraud incidents, and higher collection costs, alongside limited visibility into forward-looking portfolio risk. Management requires a data-driven view to move from reactive risk management to proactive, early-stage intervention.</w:t>
      </w:r>
    </w:p>
    <w:p>
      <w:pPr>
        <w:pStyle w:val="Heading2"/>
        <w:spacing w:after="120" w:before="220"/>
      </w:pPr>
      <w:r>
        <w:rPr>
          <w:rFonts w:ascii="Calibri" w:cs="Calibri" w:eastAsia="Calibri" w:hAnsi="Calibri"/>
          <w:b/>
          <w:bCs/>
          <w:color w:val="1A2B4C"/>
          <w:sz w:val="24"/>
          <w:szCs w:val="24"/>
        </w:rPr>
        <w:t xml:space="preserve">Five Questions This Analysis Answers</w:t>
      </w:r>
    </w:p>
    <w:p>
      <w:pPr>
        <w:pStyle w:val="ListParagraph"/>
        <w:numPr>
          <w:ilvl w:val="0"/>
          <w:numId w:val="1"/>
        </w:numPr>
        <w:spacing w:after="80"/>
      </w:pPr>
      <w:r>
        <w:rPr>
          <w:rFonts w:ascii="Calibri" w:cs="Calibri" w:eastAsia="Calibri" w:hAnsi="Calibri"/>
          <w:color w:val="222222"/>
          <w:sz w:val="21"/>
          <w:szCs w:val="21"/>
        </w:rPr>
        <w:t xml:space="preserve">Which customers are most likely to default?</w:t>
      </w:r>
    </w:p>
    <w:p>
      <w:pPr>
        <w:pStyle w:val="ListParagraph"/>
        <w:numPr>
          <w:ilvl w:val="0"/>
          <w:numId w:val="1"/>
        </w:numPr>
        <w:spacing w:after="80"/>
      </w:pPr>
      <w:r>
        <w:rPr>
          <w:rFonts w:ascii="Calibri" w:cs="Calibri" w:eastAsia="Calibri" w:hAnsi="Calibri"/>
          <w:color w:val="222222"/>
          <w:sz w:val="21"/>
          <w:szCs w:val="21"/>
        </w:rPr>
        <w:t xml:space="preserve">What factors drive default risk?</w:t>
      </w:r>
    </w:p>
    <w:p>
      <w:pPr>
        <w:pStyle w:val="ListParagraph"/>
        <w:numPr>
          <w:ilvl w:val="0"/>
          <w:numId w:val="1"/>
        </w:numPr>
        <w:spacing w:after="80"/>
      </w:pPr>
      <w:r>
        <w:rPr>
          <w:rFonts w:ascii="Calibri" w:cs="Calibri" w:eastAsia="Calibri" w:hAnsi="Calibri"/>
          <w:color w:val="222222"/>
          <w:sz w:val="21"/>
          <w:szCs w:val="21"/>
        </w:rPr>
        <w:t xml:space="preserve">Which customer segments are riskiest?</w:t>
      </w:r>
    </w:p>
    <w:p>
      <w:pPr>
        <w:pStyle w:val="ListParagraph"/>
        <w:numPr>
          <w:ilvl w:val="0"/>
          <w:numId w:val="1"/>
        </w:numPr>
        <w:spacing w:after="80"/>
      </w:pPr>
      <w:r>
        <w:rPr>
          <w:rFonts w:ascii="Calibri" w:cs="Calibri" w:eastAsia="Calibri" w:hAnsi="Calibri"/>
          <w:color w:val="222222"/>
          <w:sz w:val="21"/>
          <w:szCs w:val="21"/>
        </w:rPr>
        <w:t xml:space="preserve">How effective is collections recovery?</w:t>
      </w:r>
    </w:p>
    <w:p>
      <w:pPr>
        <w:pStyle w:val="ListParagraph"/>
        <w:numPr>
          <w:ilvl w:val="0"/>
          <w:numId w:val="1"/>
        </w:numPr>
        <w:spacing w:after="80"/>
      </w:pPr>
      <w:r>
        <w:rPr>
          <w:rFonts w:ascii="Calibri" w:cs="Calibri" w:eastAsia="Calibri" w:hAnsi="Calibri"/>
          <w:color w:val="222222"/>
          <w:sz w:val="21"/>
          <w:szCs w:val="21"/>
        </w:rPr>
        <w:t xml:space="preserve">What is the outlook for portfolio risk over the next six months?</w:t>
      </w:r>
    </w:p>
    <w:p>
      <w:pPr>
        <w:pStyle w:val="Heading2"/>
        <w:spacing w:after="120" w:before="220"/>
      </w:pPr>
      <w:r>
        <w:rPr>
          <w:rFonts w:ascii="Calibri" w:cs="Calibri" w:eastAsia="Calibri" w:hAnsi="Calibri"/>
          <w:b/>
          <w:bCs/>
          <w:color w:val="1A2B4C"/>
          <w:sz w:val="24"/>
          <w:szCs w:val="24"/>
        </w:rPr>
        <w:t xml:space="preserve">Scope &amp; Data</w:t>
      </w:r>
    </w:p>
    <w:p>
      <w:pPr>
        <w:spacing w:after="140" w:line="276"/>
      </w:pPr>
      <w:r>
        <w:rPr>
          <w:rFonts w:ascii="Calibri" w:cs="Calibri" w:eastAsia="Calibri" w:hAnsi="Calibri"/>
          <w:color w:val="222222"/>
          <w:sz w:val="21"/>
          <w:szCs w:val="21"/>
        </w:rPr>
        <w:t xml:space="preserve">The analysis draws on 20,000 customers, 20,000 credit accounts, 720,000 monthly account snapshots, 1,000,000 transaction records, 50,000 fraud alerts, and 100,000 collections activity records, spanning a three-year historical window (2023-2025).</w:t>
      </w:r>
    </w:p>
    <w:p>
      <w:r>
        <w:br w:type="page"/>
      </w:r>
    </w:p>
    <w:p>
      <w:pPr>
        <w:pStyle w:val="Heading1"/>
        <w:spacing w:after="160" w:before="300"/>
      </w:pPr>
      <w:r>
        <w:rPr>
          <w:rFonts w:ascii="Calibri" w:cs="Calibri" w:eastAsia="Calibri" w:hAnsi="Calibri"/>
          <w:b/>
          <w:bCs/>
          <w:color w:val="1A2B4C"/>
          <w:sz w:val="30"/>
          <w:szCs w:val="30"/>
        </w:rPr>
        <w:t xml:space="preserve">3. Methodology &amp; Data Pipeline</w:t>
      </w:r>
    </w:p>
    <w:p>
      <w:pPr>
        <w:spacing w:after="140" w:line="276"/>
      </w:pPr>
      <w:r>
        <w:rPr>
          <w:rFonts w:ascii="Calibri" w:cs="Calibri" w:eastAsia="Calibri" w:hAnsi="Calibri"/>
          <w:color w:val="222222"/>
          <w:sz w:val="21"/>
          <w:szCs w:val="21"/>
        </w:rPr>
        <w:t xml:space="preserve">Raw data from six source systems (CRM, credit system, core banking, fraud monitoring, collections, and economic data) was consolidated into a PostgreSQL data mart, mirroring how a real financial institution's data warehouse would be structured.</w:t>
      </w:r>
    </w:p>
    <w:p>
      <w:pPr>
        <w:pStyle w:val="Heading2"/>
        <w:spacing w:after="120" w:before="220"/>
      </w:pPr>
      <w:r>
        <w:rPr>
          <w:rFonts w:ascii="Calibri" w:cs="Calibri" w:eastAsia="Calibri" w:hAnsi="Calibri"/>
          <w:b/>
          <w:bCs/>
          <w:color w:val="1A2B4C"/>
          <w:sz w:val="24"/>
          <w:szCs w:val="24"/>
        </w:rPr>
        <w:t xml:space="preserve">Pipeline</w:t>
      </w:r>
    </w:p>
    <w:p>
      <w:pPr>
        <w:spacing w:after="140" w:line="276"/>
      </w:pPr>
      <w:r>
        <w:rPr>
          <w:rFonts w:ascii="Calibri" w:cs="Calibri" w:eastAsia="Calibri" w:hAnsi="Calibri"/>
          <w:i/>
          <w:iCs/>
          <w:color w:val="595959"/>
          <w:sz w:val="21"/>
          <w:szCs w:val="21"/>
        </w:rPr>
        <w:t xml:space="preserve">CSV Source Files  →  PostgreSQL Data Mart  →  SQL Analytics Layer  →  Python EDA &amp; Feature Engineering  →  Logistic Regression Model  →  ARIMA Forecasting  →  Power BI Dashboard</w:t>
      </w:r>
    </w:p>
    <w:p>
      <w:pPr>
        <w:pStyle w:val="Heading2"/>
        <w:spacing w:after="120" w:before="220"/>
      </w:pPr>
      <w:r>
        <w:rPr>
          <w:rFonts w:ascii="Calibri" w:cs="Calibri" w:eastAsia="Calibri" w:hAnsi="Calibri"/>
          <w:b/>
          <w:bCs/>
          <w:color w:val="1A2B4C"/>
          <w:sz w:val="24"/>
          <w:szCs w:val="24"/>
        </w:rPr>
        <w:t xml:space="preserve">Data Quality</w:t>
      </w:r>
    </w:p>
    <w:p>
      <w:pPr>
        <w:spacing w:after="140" w:line="276"/>
      </w:pPr>
      <w:r>
        <w:rPr>
          <w:rFonts w:ascii="Calibri" w:cs="Calibri" w:eastAsia="Calibri" w:hAnsi="Calibri"/>
          <w:color w:val="222222"/>
          <w:sz w:val="21"/>
          <w:szCs w:val="21"/>
        </w:rPr>
        <w:t xml:space="preserve">Before analysis, the dataset was validated for completeness and integrity: zero missing values, zero duplicate records, zero orphaned foreign-key references, and no impossible or out-of-range values were found. The target variable (default_flag) was well balanced at 52%/48%, favorable for model training.</w:t>
      </w:r>
    </w:p>
    <w:p>
      <w:pPr>
        <w:pStyle w:val="Heading2"/>
        <w:spacing w:after="120" w:before="220"/>
      </w:pPr>
      <w:r>
        <w:rPr>
          <w:rFonts w:ascii="Calibri" w:cs="Calibri" w:eastAsia="Calibri" w:hAnsi="Calibri"/>
          <w:b/>
          <w:bCs/>
          <w:color w:val="1A2B4C"/>
          <w:sz w:val="24"/>
          <w:szCs w:val="24"/>
        </w:rPr>
        <w:t xml:space="preserve">Analytical Techniques Applied</w:t>
      </w:r>
    </w:p>
    <w:p>
      <w:pPr>
        <w:pStyle w:val="ListParagraph"/>
        <w:numPr>
          <w:ilvl w:val="0"/>
          <w:numId w:val="1"/>
        </w:numPr>
        <w:spacing w:after="80"/>
      </w:pPr>
      <w:r>
        <w:rPr>
          <w:rFonts w:ascii="Calibri" w:cs="Calibri" w:eastAsia="Calibri" w:hAnsi="Calibri"/>
          <w:color w:val="222222"/>
          <w:sz w:val="21"/>
          <w:szCs w:val="21"/>
        </w:rPr>
        <w:t xml:space="preserve">SQL: joins, window functions, view-based risk scoring, cohort-style segmentation</w:t>
      </w:r>
    </w:p>
    <w:p>
      <w:pPr>
        <w:pStyle w:val="ListParagraph"/>
        <w:numPr>
          <w:ilvl w:val="0"/>
          <w:numId w:val="1"/>
        </w:numPr>
        <w:spacing w:after="80"/>
      </w:pPr>
      <w:r>
        <w:rPr>
          <w:rFonts w:ascii="Calibri" w:cs="Calibri" w:eastAsia="Calibri" w:hAnsi="Calibri"/>
          <w:color w:val="222222"/>
          <w:sz w:val="21"/>
          <w:szCs w:val="21"/>
        </w:rPr>
        <w:t xml:space="preserve">Python: exploratory data analysis, correlation analysis, feature engineering</w:t>
      </w:r>
    </w:p>
    <w:p>
      <w:pPr>
        <w:pStyle w:val="ListParagraph"/>
        <w:numPr>
          <w:ilvl w:val="0"/>
          <w:numId w:val="1"/>
        </w:numPr>
        <w:spacing w:after="80"/>
      </w:pPr>
      <w:r>
        <w:rPr>
          <w:rFonts w:ascii="Calibri" w:cs="Calibri" w:eastAsia="Calibri" w:hAnsi="Calibri"/>
          <w:color w:val="222222"/>
          <w:sz w:val="21"/>
          <w:szCs w:val="21"/>
        </w:rPr>
        <w:t xml:space="preserve">Machine Learning: Logistic Regression with train/test validation, ROC-AUC/precision/recall evaluation</w:t>
      </w:r>
    </w:p>
    <w:p>
      <w:pPr>
        <w:pStyle w:val="ListParagraph"/>
        <w:numPr>
          <w:ilvl w:val="0"/>
          <w:numId w:val="1"/>
        </w:numPr>
        <w:spacing w:after="80"/>
      </w:pPr>
      <w:r>
        <w:rPr>
          <w:rFonts w:ascii="Calibri" w:cs="Calibri" w:eastAsia="Calibri" w:hAnsi="Calibri"/>
          <w:color w:val="222222"/>
          <w:sz w:val="21"/>
          <w:szCs w:val="21"/>
        </w:rPr>
        <w:t xml:space="preserve">Time Series: ARIMA forecasting of monthly default rate</w:t>
      </w:r>
    </w:p>
    <w:p>
      <w:pPr>
        <w:pStyle w:val="ListParagraph"/>
        <w:numPr>
          <w:ilvl w:val="0"/>
          <w:numId w:val="1"/>
        </w:numPr>
        <w:spacing w:after="80"/>
      </w:pPr>
      <w:r>
        <w:rPr>
          <w:rFonts w:ascii="Calibri" w:cs="Calibri" w:eastAsia="Calibri" w:hAnsi="Calibri"/>
          <w:color w:val="222222"/>
          <w:sz w:val="21"/>
          <w:szCs w:val="21"/>
        </w:rPr>
        <w:t xml:space="preserve">Business Intelligence: 7-page live Power BI dashboard connected to PostgreSQL</w:t>
      </w:r>
    </w:p>
    <w:p>
      <w:r>
        <w:br w:type="page"/>
      </w:r>
    </w:p>
    <w:p>
      <w:pPr>
        <w:pStyle w:val="Heading1"/>
        <w:spacing w:after="160" w:before="300"/>
      </w:pPr>
      <w:r>
        <w:rPr>
          <w:rFonts w:ascii="Calibri" w:cs="Calibri" w:eastAsia="Calibri" w:hAnsi="Calibri"/>
          <w:b/>
          <w:bCs/>
          <w:color w:val="1A2B4C"/>
          <w:sz w:val="30"/>
          <w:szCs w:val="30"/>
        </w:rPr>
        <w:t xml:space="preserve">4. Portfolio Risk Overview</w:t>
      </w:r>
    </w:p>
    <w:p>
      <w:pPr>
        <w:spacing w:after="140" w:line="276"/>
      </w:pPr>
      <w:r>
        <w:rPr>
          <w:rFonts w:ascii="Calibri" w:cs="Calibri" w:eastAsia="Calibri" w:hAnsi="Calibri"/>
          <w:color w:val="222222"/>
          <w:sz w:val="21"/>
          <w:szCs w:val="21"/>
        </w:rPr>
        <w:t xml:space="preserve">At the portfolio level, the following key indicators were established through SQL analysis of the full account base: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A2B4C" w:val="clear"/>
            <w:tcMar>
              <w:top w:type="dxa" w:w="100"/>
              <w:left w:type="dxa" w:w="120"/>
              <w:bottom w:type="dxa" w:w="100"/>
              <w:right w:type="dxa" w:w="120"/>
            </w:tcMar>
          </w:tcPr>
          <w:p>
            <w:r>
              <w:rPr>
                <w:rFonts w:ascii="Calibri" w:cs="Calibri" w:eastAsia="Calibri" w:hAnsi="Calibri"/>
                <w:b/>
                <w:bCs/>
                <w:color w:val="FFFFFF"/>
                <w:sz w:val="20"/>
                <w:szCs w:val="20"/>
              </w:rPr>
              <w:t xml:space="preserve">Metric</w:t>
            </w:r>
          </w:p>
        </w:tc>
        <w:tc>
          <w:tcPr>
            <w:tcW w:type="dxa" w:w="4500"/>
            <w:shd w:fill="1A2B4C" w:val="clear"/>
            <w:tcMar>
              <w:top w:type="dxa" w:w="100"/>
              <w:left w:type="dxa" w:w="120"/>
              <w:bottom w:type="dxa" w:w="100"/>
              <w:right w:type="dxa" w:w="120"/>
            </w:tcMar>
          </w:tcPr>
          <w:p>
            <w:r>
              <w:rPr>
                <w:rFonts w:ascii="Calibri" w:cs="Calibri" w:eastAsia="Calibri" w:hAnsi="Calibri"/>
                <w:b/>
                <w:bCs/>
                <w:color w:val="FFFFFF"/>
                <w:sz w:val="20"/>
                <w:szCs w:val="20"/>
              </w:rPr>
              <w:t xml:space="preserve">Value</w:t>
            </w:r>
          </w:p>
        </w:tc>
      </w:tr>
      <w:tr>
        <w:tc>
          <w:tcPr>
            <w:tcW w:type="dxa" w:w="4500"/>
            <w:tcMar>
              <w:top w:type="dxa" w:w="100"/>
              <w:left w:type="dxa" w:w="120"/>
              <w:bottom w:type="dxa" w:w="100"/>
              <w:right w:type="dxa" w:w="120"/>
            </w:tcMar>
          </w:tcPr>
          <w:p>
            <w:r>
              <w:rPr>
                <w:rFonts w:ascii="Calibri" w:cs="Calibri" w:eastAsia="Calibri" w:hAnsi="Calibri"/>
                <w:b w:val="false"/>
                <w:bCs w:val="false"/>
                <w:color w:val="222222"/>
                <w:sz w:val="20"/>
                <w:szCs w:val="20"/>
              </w:rPr>
              <w:t xml:space="preserve">Total Accounts</w:t>
            </w:r>
          </w:p>
        </w:tc>
        <w:tc>
          <w:tcPr>
            <w:tcW w:type="dxa" w:w="4500"/>
            <w:tcMar>
              <w:top w:type="dxa" w:w="100"/>
              <w:left w:type="dxa" w:w="120"/>
              <w:bottom w:type="dxa" w:w="100"/>
              <w:right w:type="dxa" w:w="120"/>
            </w:tcMar>
          </w:tcPr>
          <w:p>
            <w:r>
              <w:rPr>
                <w:rFonts w:ascii="Calibri" w:cs="Calibri" w:eastAsia="Calibri" w:hAnsi="Calibri"/>
                <w:b w:val="false"/>
                <w:bCs w:val="false"/>
                <w:color w:val="222222"/>
                <w:sz w:val="20"/>
                <w:szCs w:val="20"/>
              </w:rPr>
              <w:t xml:space="preserve">20,000</w:t>
            </w:r>
          </w:p>
        </w:tc>
      </w:tr>
      <w:tr>
        <w:tc>
          <w:tcPr>
            <w:tcW w:type="dxa" w:w="4500"/>
            <w:tcMar>
              <w:top w:type="dxa" w:w="100"/>
              <w:left w:type="dxa" w:w="120"/>
              <w:bottom w:type="dxa" w:w="100"/>
              <w:right w:type="dxa" w:w="120"/>
            </w:tcMar>
          </w:tcPr>
          <w:p>
            <w:r>
              <w:rPr>
                <w:rFonts w:ascii="Calibri" w:cs="Calibri" w:eastAsia="Calibri" w:hAnsi="Calibri"/>
                <w:b w:val="false"/>
                <w:bCs w:val="false"/>
                <w:color w:val="222222"/>
                <w:sz w:val="20"/>
                <w:szCs w:val="20"/>
              </w:rPr>
              <w:t xml:space="preserve">Total Credit Exposure</w:t>
            </w:r>
          </w:p>
        </w:tc>
        <w:tc>
          <w:tcPr>
            <w:tcW w:type="dxa" w:w="4500"/>
            <w:tcMar>
              <w:top w:type="dxa" w:w="100"/>
              <w:left w:type="dxa" w:w="120"/>
              <w:bottom w:type="dxa" w:w="100"/>
              <w:right w:type="dxa" w:w="120"/>
            </w:tcMar>
          </w:tcPr>
          <w:p>
            <w:r>
              <w:rPr>
                <w:rFonts w:ascii="Calibri" w:cs="Calibri" w:eastAsia="Calibri" w:hAnsi="Calibri"/>
                <w:b w:val="false"/>
                <w:bCs w:val="false"/>
                <w:color w:val="222222"/>
                <w:sz w:val="20"/>
                <w:szCs w:val="20"/>
              </w:rPr>
              <w:t xml:space="preserve">₹15,512,912,188</w:t>
            </w:r>
          </w:p>
        </w:tc>
      </w:tr>
      <w:tr>
        <w:tc>
          <w:tcPr>
            <w:tcW w:type="dxa" w:w="4500"/>
            <w:tcMar>
              <w:top w:type="dxa" w:w="100"/>
              <w:left w:type="dxa" w:w="120"/>
              <w:bottom w:type="dxa" w:w="100"/>
              <w:right w:type="dxa" w:w="120"/>
            </w:tcMar>
          </w:tcPr>
          <w:p>
            <w:r>
              <w:rPr>
                <w:rFonts w:ascii="Calibri" w:cs="Calibri" w:eastAsia="Calibri" w:hAnsi="Calibri"/>
                <w:b w:val="false"/>
                <w:bCs w:val="false"/>
                <w:color w:val="222222"/>
                <w:sz w:val="20"/>
                <w:szCs w:val="20"/>
              </w:rPr>
              <w:t xml:space="preserve">Average Credit Limit</w:t>
            </w:r>
          </w:p>
        </w:tc>
        <w:tc>
          <w:tcPr>
            <w:tcW w:type="dxa" w:w="4500"/>
            <w:tcMar>
              <w:top w:type="dxa" w:w="100"/>
              <w:left w:type="dxa" w:w="120"/>
              <w:bottom w:type="dxa" w:w="100"/>
              <w:right w:type="dxa" w:w="120"/>
            </w:tcMar>
          </w:tcPr>
          <w:p>
            <w:r>
              <w:rPr>
                <w:rFonts w:ascii="Calibri" w:cs="Calibri" w:eastAsia="Calibri" w:hAnsi="Calibri"/>
                <w:b w:val="false"/>
                <w:bCs w:val="false"/>
                <w:color w:val="222222"/>
                <w:sz w:val="20"/>
                <w:szCs w:val="20"/>
              </w:rPr>
              <w:t xml:space="preserve">₹775,646</w:t>
            </w:r>
          </w:p>
        </w:tc>
      </w:tr>
      <w:tr>
        <w:tc>
          <w:tcPr>
            <w:tcW w:type="dxa" w:w="4500"/>
            <w:tcMar>
              <w:top w:type="dxa" w:w="100"/>
              <w:left w:type="dxa" w:w="120"/>
              <w:bottom w:type="dxa" w:w="100"/>
              <w:right w:type="dxa" w:w="120"/>
            </w:tcMar>
          </w:tcPr>
          <w:p>
            <w:r>
              <w:rPr>
                <w:rFonts w:ascii="Calibri" w:cs="Calibri" w:eastAsia="Calibri" w:hAnsi="Calibri"/>
                <w:b w:val="false"/>
                <w:bCs w:val="false"/>
                <w:color w:val="222222"/>
                <w:sz w:val="20"/>
                <w:szCs w:val="20"/>
              </w:rPr>
              <w:t xml:space="preserve">Delinquency Rate (latest snapshot)</w:t>
            </w:r>
          </w:p>
        </w:tc>
        <w:tc>
          <w:tcPr>
            <w:tcW w:type="dxa" w:w="4500"/>
            <w:tcMar>
              <w:top w:type="dxa" w:w="100"/>
              <w:left w:type="dxa" w:w="120"/>
              <w:bottom w:type="dxa" w:w="100"/>
              <w:right w:type="dxa" w:w="120"/>
            </w:tcMar>
          </w:tcPr>
          <w:p>
            <w:r>
              <w:rPr>
                <w:rFonts w:ascii="Calibri" w:cs="Calibri" w:eastAsia="Calibri" w:hAnsi="Calibri"/>
                <w:b w:val="false"/>
                <w:bCs w:val="false"/>
                <w:color w:val="222222"/>
                <w:sz w:val="20"/>
                <w:szCs w:val="20"/>
              </w:rPr>
              <w:t xml:space="preserve">55.61%</w:t>
            </w:r>
          </w:p>
        </w:tc>
      </w:tr>
      <w:tr>
        <w:tc>
          <w:tcPr>
            <w:tcW w:type="dxa" w:w="4500"/>
            <w:tcMar>
              <w:top w:type="dxa" w:w="100"/>
              <w:left w:type="dxa" w:w="120"/>
              <w:bottom w:type="dxa" w:w="100"/>
              <w:right w:type="dxa" w:w="120"/>
            </w:tcMar>
          </w:tcPr>
          <w:p>
            <w:r>
              <w:rPr>
                <w:rFonts w:ascii="Calibri" w:cs="Calibri" w:eastAsia="Calibri" w:hAnsi="Calibri"/>
                <w:b w:val="false"/>
                <w:bCs w:val="false"/>
                <w:color w:val="222222"/>
                <w:sz w:val="20"/>
                <w:szCs w:val="20"/>
              </w:rPr>
              <w:t xml:space="preserve">Overall Default Rate</w:t>
            </w:r>
          </w:p>
        </w:tc>
        <w:tc>
          <w:tcPr>
            <w:tcW w:type="dxa" w:w="4500"/>
            <w:tcMar>
              <w:top w:type="dxa" w:w="100"/>
              <w:left w:type="dxa" w:w="120"/>
              <w:bottom w:type="dxa" w:w="100"/>
              <w:right w:type="dxa" w:w="120"/>
            </w:tcMar>
          </w:tcPr>
          <w:p>
            <w:r>
              <w:rPr>
                <w:rFonts w:ascii="Calibri" w:cs="Calibri" w:eastAsia="Calibri" w:hAnsi="Calibri"/>
                <w:b w:val="false"/>
                <w:bCs w:val="false"/>
                <w:color w:val="222222"/>
                <w:sz w:val="20"/>
                <w:szCs w:val="20"/>
              </w:rPr>
              <w:t xml:space="preserve">51.95%</w:t>
            </w:r>
          </w:p>
        </w:tc>
      </w:tr>
      <w:tr>
        <w:tc>
          <w:tcPr>
            <w:tcW w:type="dxa" w:w="4500"/>
            <w:tcMar>
              <w:top w:type="dxa" w:w="100"/>
              <w:left w:type="dxa" w:w="120"/>
              <w:bottom w:type="dxa" w:w="100"/>
              <w:right w:type="dxa" w:w="120"/>
            </w:tcMar>
          </w:tcPr>
          <w:p>
            <w:r>
              <w:rPr>
                <w:rFonts w:ascii="Calibri" w:cs="Calibri" w:eastAsia="Calibri" w:hAnsi="Calibri"/>
                <w:b w:val="false"/>
                <w:bCs w:val="false"/>
                <w:color w:val="222222"/>
                <w:sz w:val="20"/>
                <w:szCs w:val="20"/>
              </w:rPr>
              <w:t xml:space="preserve">Fraud Rate</w:t>
            </w:r>
          </w:p>
        </w:tc>
        <w:tc>
          <w:tcPr>
            <w:tcW w:type="dxa" w:w="4500"/>
            <w:tcMar>
              <w:top w:type="dxa" w:w="100"/>
              <w:left w:type="dxa" w:w="120"/>
              <w:bottom w:type="dxa" w:w="100"/>
              <w:right w:type="dxa" w:w="120"/>
            </w:tcMar>
          </w:tcPr>
          <w:p>
            <w:r>
              <w:rPr>
                <w:rFonts w:ascii="Calibri" w:cs="Calibri" w:eastAsia="Calibri" w:hAnsi="Calibri"/>
                <w:b w:val="false"/>
                <w:bCs w:val="false"/>
                <w:color w:val="222222"/>
                <w:sz w:val="20"/>
                <w:szCs w:val="20"/>
              </w:rPr>
              <w:t xml:space="preserve">91.44%</w:t>
            </w:r>
          </w:p>
        </w:tc>
      </w:tr>
    </w:tbl>
    <w:p>
      <w:pPr>
        <w:spacing w:after="140" w:line="276"/>
      </w:pPr>
      <w:r>
        <w:rPr>
          <w:rFonts w:ascii="Calibri" w:cs="Calibri" w:eastAsia="Calibri" w:hAnsi="Calibri"/>
          <w:color w:val="222222"/>
          <w:sz w:val="21"/>
          <w:szCs w:val="21"/>
        </w:rPr>
        <w:t xml:space="preserve"/>
      </w:r>
    </w:p>
    <w:p>
      <w:pPr>
        <w:spacing w:after="140" w:line="276"/>
      </w:pPr>
      <w:r>
        <w:rPr>
          <w:rFonts w:ascii="Calibri" w:cs="Calibri" w:eastAsia="Calibri" w:hAnsi="Calibri"/>
          <w:color w:val="222222"/>
          <w:sz w:val="21"/>
          <w:szCs w:val="21"/>
        </w:rPr>
        <w:t xml:space="preserve">Note on absolute rates: this dataset was synthetically generated, and its default/fraud/delinquency base rates run materially higher than a typical real-world portfolio (which would usually see single-digit default rates). The directional findings and relationships identified below remain valid and are the primary analytical output of this work.</w:t>
      </w:r>
    </w:p>
    <w:p>
      <w:pPr>
        <w:pStyle w:val="Heading2"/>
        <w:spacing w:after="120" w:before="220"/>
      </w:pPr>
      <w:r>
        <w:rPr>
          <w:rFonts w:ascii="Calibri" w:cs="Calibri" w:eastAsia="Calibri" w:hAnsi="Calibri"/>
          <w:b/>
          <w:bCs/>
          <w:color w:val="1A2B4C"/>
          <w:sz w:val="24"/>
          <w:szCs w:val="24"/>
        </w:rPr>
        <w:t xml:space="preserve">Risk Segmentation</w:t>
      </w:r>
    </w:p>
    <w:p>
      <w:pPr>
        <w:spacing w:after="140" w:line="276"/>
      </w:pPr>
      <w:r>
        <w:rPr>
          <w:rFonts w:ascii="Calibri" w:cs="Calibri" w:eastAsia="Calibri" w:hAnsi="Calibri"/>
          <w:color w:val="222222"/>
          <w:sz w:val="21"/>
          <w:szCs w:val="21"/>
        </w:rPr>
        <w:t xml:space="preserve">Accounts were scored on a weighted combination of utilization ratio (40%), days past due (40%), and fraud count (20%), then classified into Low, Medium, and High risk tiers.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A2B4C" w:val="clear"/>
            <w:tcMar>
              <w:top w:type="dxa" w:w="100"/>
              <w:left w:type="dxa" w:w="120"/>
              <w:bottom w:type="dxa" w:w="100"/>
              <w:right w:type="dxa" w:w="120"/>
            </w:tcMar>
          </w:tcPr>
          <w:p>
            <w:r>
              <w:rPr>
                <w:rFonts w:ascii="Calibri" w:cs="Calibri" w:eastAsia="Calibri" w:hAnsi="Calibri"/>
                <w:b/>
                <w:bCs/>
                <w:color w:val="FFFFFF"/>
                <w:sz w:val="20"/>
                <w:szCs w:val="20"/>
              </w:rPr>
              <w:t xml:space="preserve">Risk Tier</w:t>
            </w:r>
          </w:p>
        </w:tc>
        <w:tc>
          <w:tcPr>
            <w:tcW w:type="dxa" w:w="2250"/>
            <w:shd w:fill="1A2B4C" w:val="clear"/>
            <w:tcMar>
              <w:top w:type="dxa" w:w="100"/>
              <w:left w:type="dxa" w:w="120"/>
              <w:bottom w:type="dxa" w:w="100"/>
              <w:right w:type="dxa" w:w="120"/>
            </w:tcMar>
          </w:tcPr>
          <w:p>
            <w:r>
              <w:rPr>
                <w:rFonts w:ascii="Calibri" w:cs="Calibri" w:eastAsia="Calibri" w:hAnsi="Calibri"/>
                <w:b/>
                <w:bCs/>
                <w:color w:val="FFFFFF"/>
                <w:sz w:val="20"/>
                <w:szCs w:val="20"/>
              </w:rPr>
              <w:t xml:space="preserve">Accounts</w:t>
            </w:r>
          </w:p>
        </w:tc>
        <w:tc>
          <w:tcPr>
            <w:tcW w:type="dxa" w:w="2250"/>
            <w:shd w:fill="1A2B4C" w:val="clear"/>
            <w:tcMar>
              <w:top w:type="dxa" w:w="100"/>
              <w:left w:type="dxa" w:w="120"/>
              <w:bottom w:type="dxa" w:w="100"/>
              <w:right w:type="dxa" w:w="120"/>
            </w:tcMar>
          </w:tcPr>
          <w:p>
            <w:r>
              <w:rPr>
                <w:rFonts w:ascii="Calibri" w:cs="Calibri" w:eastAsia="Calibri" w:hAnsi="Calibri"/>
                <w:b/>
                <w:bCs/>
                <w:color w:val="FFFFFF"/>
                <w:sz w:val="20"/>
                <w:szCs w:val="20"/>
              </w:rPr>
              <w:t xml:space="preserve">% of Portfolio</w:t>
            </w:r>
          </w:p>
        </w:tc>
        <w:tc>
          <w:tcPr>
            <w:tcW w:type="dxa" w:w="2250"/>
            <w:shd w:fill="1A2B4C" w:val="clear"/>
            <w:tcMar>
              <w:top w:type="dxa" w:w="100"/>
              <w:left w:type="dxa" w:w="120"/>
              <w:bottom w:type="dxa" w:w="100"/>
              <w:right w:type="dxa" w:w="120"/>
            </w:tcMar>
          </w:tcPr>
          <w:p>
            <w:r>
              <w:rPr>
                <w:rFonts w:ascii="Calibri" w:cs="Calibri" w:eastAsia="Calibri" w:hAnsi="Calibri"/>
                <w:b/>
                <w:bCs/>
                <w:color w:val="FFFFFF"/>
                <w:sz w:val="20"/>
                <w:szCs w:val="20"/>
              </w:rPr>
              <w:t xml:space="preserve">Default Rate</w:t>
            </w:r>
          </w:p>
        </w:tc>
      </w:tr>
      <w:tr>
        <w:tc>
          <w:tcPr>
            <w:tcW w:type="dxa" w:w="2250"/>
            <w:tcMar>
              <w:top w:type="dxa" w:w="100"/>
              <w:left w:type="dxa" w:w="120"/>
              <w:bottom w:type="dxa" w:w="100"/>
              <w:right w:type="dxa" w:w="120"/>
            </w:tcMar>
          </w:tcPr>
          <w:p>
            <w:r>
              <w:rPr>
                <w:rFonts w:ascii="Calibri" w:cs="Calibri" w:eastAsia="Calibri" w:hAnsi="Calibri"/>
                <w:b w:val="false"/>
                <w:bCs w:val="false"/>
                <w:color w:val="222222"/>
                <w:sz w:val="20"/>
                <w:szCs w:val="20"/>
              </w:rPr>
              <w:t xml:space="preserve">Low</w:t>
            </w:r>
          </w:p>
        </w:tc>
        <w:tc>
          <w:tcPr>
            <w:tcW w:type="dxa" w:w="2250"/>
            <w:tcMar>
              <w:top w:type="dxa" w:w="100"/>
              <w:left w:type="dxa" w:w="120"/>
              <w:bottom w:type="dxa" w:w="100"/>
              <w:right w:type="dxa" w:w="120"/>
            </w:tcMar>
          </w:tcPr>
          <w:p>
            <w:r>
              <w:rPr>
                <w:rFonts w:ascii="Calibri" w:cs="Calibri" w:eastAsia="Calibri" w:hAnsi="Calibri"/>
                <w:b w:val="false"/>
                <w:bCs w:val="false"/>
                <w:color w:val="222222"/>
                <w:sz w:val="20"/>
                <w:szCs w:val="20"/>
              </w:rPr>
              <w:t xml:space="preserve">11,696</w:t>
            </w:r>
          </w:p>
        </w:tc>
        <w:tc>
          <w:tcPr>
            <w:tcW w:type="dxa" w:w="2250"/>
            <w:tcMar>
              <w:top w:type="dxa" w:w="100"/>
              <w:left w:type="dxa" w:w="120"/>
              <w:bottom w:type="dxa" w:w="100"/>
              <w:right w:type="dxa" w:w="120"/>
            </w:tcMar>
          </w:tcPr>
          <w:p>
            <w:r>
              <w:rPr>
                <w:rFonts w:ascii="Calibri" w:cs="Calibri" w:eastAsia="Calibri" w:hAnsi="Calibri"/>
                <w:b w:val="false"/>
                <w:bCs w:val="false"/>
                <w:color w:val="222222"/>
                <w:sz w:val="20"/>
                <w:szCs w:val="20"/>
              </w:rPr>
              <w:t xml:space="preserve">58.5%</w:t>
            </w:r>
          </w:p>
        </w:tc>
        <w:tc>
          <w:tcPr>
            <w:tcW w:type="dxa" w:w="2250"/>
            <w:tcMar>
              <w:top w:type="dxa" w:w="100"/>
              <w:left w:type="dxa" w:w="120"/>
              <w:bottom w:type="dxa" w:w="100"/>
              <w:right w:type="dxa" w:w="120"/>
            </w:tcMar>
          </w:tcPr>
          <w:p>
            <w:r>
              <w:rPr>
                <w:rFonts w:ascii="Calibri" w:cs="Calibri" w:eastAsia="Calibri" w:hAnsi="Calibri"/>
                <w:b w:val="false"/>
                <w:bCs w:val="false"/>
                <w:color w:val="222222"/>
                <w:sz w:val="20"/>
                <w:szCs w:val="20"/>
              </w:rPr>
              <w:t xml:space="preserve">32.8%</w:t>
            </w:r>
          </w:p>
        </w:tc>
      </w:tr>
      <w:tr>
        <w:tc>
          <w:tcPr>
            <w:tcW w:type="dxa" w:w="2250"/>
            <w:tcMar>
              <w:top w:type="dxa" w:w="100"/>
              <w:left w:type="dxa" w:w="120"/>
              <w:bottom w:type="dxa" w:w="100"/>
              <w:right w:type="dxa" w:w="120"/>
            </w:tcMar>
          </w:tcPr>
          <w:p>
            <w:r>
              <w:rPr>
                <w:rFonts w:ascii="Calibri" w:cs="Calibri" w:eastAsia="Calibri" w:hAnsi="Calibri"/>
                <w:b w:val="false"/>
                <w:bCs w:val="false"/>
                <w:color w:val="222222"/>
                <w:sz w:val="20"/>
                <w:szCs w:val="20"/>
              </w:rPr>
              <w:t xml:space="preserve">Medium</w:t>
            </w:r>
          </w:p>
        </w:tc>
        <w:tc>
          <w:tcPr>
            <w:tcW w:type="dxa" w:w="2250"/>
            <w:tcMar>
              <w:top w:type="dxa" w:w="100"/>
              <w:left w:type="dxa" w:w="120"/>
              <w:bottom w:type="dxa" w:w="100"/>
              <w:right w:type="dxa" w:w="120"/>
            </w:tcMar>
          </w:tcPr>
          <w:p>
            <w:r>
              <w:rPr>
                <w:rFonts w:ascii="Calibri" w:cs="Calibri" w:eastAsia="Calibri" w:hAnsi="Calibri"/>
                <w:b w:val="false"/>
                <w:bCs w:val="false"/>
                <w:color w:val="222222"/>
                <w:sz w:val="20"/>
                <w:szCs w:val="20"/>
              </w:rPr>
              <w:t xml:space="preserve">8,271</w:t>
            </w:r>
          </w:p>
        </w:tc>
        <w:tc>
          <w:tcPr>
            <w:tcW w:type="dxa" w:w="2250"/>
            <w:tcMar>
              <w:top w:type="dxa" w:w="100"/>
              <w:left w:type="dxa" w:w="120"/>
              <w:bottom w:type="dxa" w:w="100"/>
              <w:right w:type="dxa" w:w="120"/>
            </w:tcMar>
          </w:tcPr>
          <w:p>
            <w:r>
              <w:rPr>
                <w:rFonts w:ascii="Calibri" w:cs="Calibri" w:eastAsia="Calibri" w:hAnsi="Calibri"/>
                <w:b w:val="false"/>
                <w:bCs w:val="false"/>
                <w:color w:val="222222"/>
                <w:sz w:val="20"/>
                <w:szCs w:val="20"/>
              </w:rPr>
              <w:t xml:space="preserve">41.4%</w:t>
            </w:r>
          </w:p>
        </w:tc>
        <w:tc>
          <w:tcPr>
            <w:tcW w:type="dxa" w:w="2250"/>
            <w:tcMar>
              <w:top w:type="dxa" w:w="100"/>
              <w:left w:type="dxa" w:w="120"/>
              <w:bottom w:type="dxa" w:w="100"/>
              <w:right w:type="dxa" w:w="120"/>
            </w:tcMar>
          </w:tcPr>
          <w:p>
            <w:r>
              <w:rPr>
                <w:rFonts w:ascii="Calibri" w:cs="Calibri" w:eastAsia="Calibri" w:hAnsi="Calibri"/>
                <w:b w:val="false"/>
                <w:bCs w:val="false"/>
                <w:color w:val="222222"/>
                <w:sz w:val="20"/>
                <w:szCs w:val="20"/>
              </w:rPr>
              <w:t xml:space="preserve">78.8%</w:t>
            </w:r>
          </w:p>
        </w:tc>
      </w:tr>
      <w:tr>
        <w:tc>
          <w:tcPr>
            <w:tcW w:type="dxa" w:w="2250"/>
            <w:tcMar>
              <w:top w:type="dxa" w:w="100"/>
              <w:left w:type="dxa" w:w="120"/>
              <w:bottom w:type="dxa" w:w="100"/>
              <w:right w:type="dxa" w:w="120"/>
            </w:tcMar>
          </w:tcPr>
          <w:p>
            <w:r>
              <w:rPr>
                <w:rFonts w:ascii="Calibri" w:cs="Calibri" w:eastAsia="Calibri" w:hAnsi="Calibri"/>
                <w:b w:val="false"/>
                <w:bCs w:val="false"/>
                <w:color w:val="222222"/>
                <w:sz w:val="20"/>
                <w:szCs w:val="20"/>
              </w:rPr>
              <w:t xml:space="preserve">High</w:t>
            </w:r>
          </w:p>
        </w:tc>
        <w:tc>
          <w:tcPr>
            <w:tcW w:type="dxa" w:w="2250"/>
            <w:tcMar>
              <w:top w:type="dxa" w:w="100"/>
              <w:left w:type="dxa" w:w="120"/>
              <w:bottom w:type="dxa" w:w="100"/>
              <w:right w:type="dxa" w:w="120"/>
            </w:tcMar>
          </w:tcPr>
          <w:p>
            <w:r>
              <w:rPr>
                <w:rFonts w:ascii="Calibri" w:cs="Calibri" w:eastAsia="Calibri" w:hAnsi="Calibri"/>
                <w:b w:val="false"/>
                <w:bCs w:val="false"/>
                <w:color w:val="222222"/>
                <w:sz w:val="20"/>
                <w:szCs w:val="20"/>
              </w:rPr>
              <w:t xml:space="preserve">33</w:t>
            </w:r>
          </w:p>
        </w:tc>
        <w:tc>
          <w:tcPr>
            <w:tcW w:type="dxa" w:w="2250"/>
            <w:tcMar>
              <w:top w:type="dxa" w:w="100"/>
              <w:left w:type="dxa" w:w="120"/>
              <w:bottom w:type="dxa" w:w="100"/>
              <w:right w:type="dxa" w:w="120"/>
            </w:tcMar>
          </w:tcPr>
          <w:p>
            <w:r>
              <w:rPr>
                <w:rFonts w:ascii="Calibri" w:cs="Calibri" w:eastAsia="Calibri" w:hAnsi="Calibri"/>
                <w:b w:val="false"/>
                <w:bCs w:val="false"/>
                <w:color w:val="222222"/>
                <w:sz w:val="20"/>
                <w:szCs w:val="20"/>
              </w:rPr>
              <w:t xml:space="preserve">0.2%</w:t>
            </w:r>
          </w:p>
        </w:tc>
        <w:tc>
          <w:tcPr>
            <w:tcW w:type="dxa" w:w="2250"/>
            <w:tcMar>
              <w:top w:type="dxa" w:w="100"/>
              <w:left w:type="dxa" w:w="120"/>
              <w:bottom w:type="dxa" w:w="100"/>
              <w:right w:type="dxa" w:w="120"/>
            </w:tcMar>
          </w:tcPr>
          <w:p>
            <w:r>
              <w:rPr>
                <w:rFonts w:ascii="Calibri" w:cs="Calibri" w:eastAsia="Calibri" w:hAnsi="Calibri"/>
                <w:b w:val="false"/>
                <w:bCs w:val="false"/>
                <w:color w:val="222222"/>
                <w:sz w:val="20"/>
                <w:szCs w:val="20"/>
              </w:rPr>
              <w:t xml:space="preserve">100.0%</w:t>
            </w:r>
          </w:p>
        </w:tc>
      </w:tr>
    </w:tbl>
    <w:p>
      <w:pPr>
        <w:spacing w:after="140" w:line="276"/>
      </w:pPr>
      <w:r>
        <w:rPr>
          <w:rFonts w:ascii="Calibri" w:cs="Calibri" w:eastAsia="Calibri" w:hAnsi="Calibri"/>
          <w:color w:val="222222"/>
          <w:sz w:val="21"/>
          <w:szCs w:val="21"/>
        </w:rPr>
        <w:t xml:space="preserve"/>
      </w:r>
    </w:p>
    <w:p>
      <w:pPr>
        <w:spacing w:after="140" w:line="276"/>
      </w:pPr>
      <w:r>
        <w:rPr>
          <w:rFonts w:ascii="Calibri" w:cs="Calibri" w:eastAsia="Calibri" w:hAnsi="Calibri"/>
          <w:color w:val="222222"/>
          <w:sz w:val="21"/>
          <w:szCs w:val="21"/>
        </w:rPr>
        <w:t xml:space="preserve">The clean, monotonic increase in default rate across Low → Medium → High tiers validates that the risk scoring methodology correctly separates safer accounts from riskier ones.</w:t>
      </w:r>
    </w:p>
    <w:p>
      <w:r>
        <w:br w:type="page"/>
      </w:r>
    </w:p>
    <w:p>
      <w:pPr>
        <w:pStyle w:val="Heading1"/>
        <w:spacing w:after="160" w:before="300"/>
      </w:pPr>
      <w:r>
        <w:rPr>
          <w:rFonts w:ascii="Calibri" w:cs="Calibri" w:eastAsia="Calibri" w:hAnsi="Calibri"/>
          <w:b/>
          <w:bCs/>
          <w:color w:val="1A2B4C"/>
          <w:sz w:val="30"/>
          <w:szCs w:val="30"/>
        </w:rPr>
        <w:t xml:space="preserve">5. What Drives Default Risk</w:t>
      </w:r>
    </w:p>
    <w:p>
      <w:pPr>
        <w:spacing w:after="140" w:line="276"/>
      </w:pPr>
      <w:r>
        <w:rPr>
          <w:rFonts w:ascii="Calibri" w:cs="Calibri" w:eastAsia="Calibri" w:hAnsi="Calibri"/>
          <w:color w:val="222222"/>
          <w:sz w:val="21"/>
          <w:szCs w:val="21"/>
        </w:rPr>
        <w:t xml:space="preserve">Correlation analysis and the predictive model's own feature weights independently converged on the same conclusion across every stage of analysis (SQL, Python EDA, and Logistic Regression):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A2B4C" w:val="clear"/>
            <w:tcMar>
              <w:top w:type="dxa" w:w="100"/>
              <w:left w:type="dxa" w:w="120"/>
              <w:bottom w:type="dxa" w:w="100"/>
              <w:right w:type="dxa" w:w="120"/>
            </w:tcMar>
          </w:tcPr>
          <w:p>
            <w:r>
              <w:rPr>
                <w:rFonts w:ascii="Calibri" w:cs="Calibri" w:eastAsia="Calibri" w:hAnsi="Calibri"/>
                <w:b/>
                <w:bCs/>
                <w:color w:val="FFFFFF"/>
                <w:sz w:val="20"/>
                <w:szCs w:val="20"/>
              </w:rPr>
              <w:t xml:space="preserve">Factor</w:t>
            </w:r>
          </w:p>
        </w:tc>
        <w:tc>
          <w:tcPr>
            <w:tcW w:type="dxa" w:w="3000"/>
            <w:shd w:fill="1A2B4C" w:val="clear"/>
            <w:tcMar>
              <w:top w:type="dxa" w:w="100"/>
              <w:left w:type="dxa" w:w="120"/>
              <w:bottom w:type="dxa" w:w="100"/>
              <w:right w:type="dxa" w:w="120"/>
            </w:tcMar>
          </w:tcPr>
          <w:p>
            <w:r>
              <w:rPr>
                <w:rFonts w:ascii="Calibri" w:cs="Calibri" w:eastAsia="Calibri" w:hAnsi="Calibri"/>
                <w:b/>
                <w:bCs/>
                <w:color w:val="FFFFFF"/>
                <w:sz w:val="20"/>
                <w:szCs w:val="20"/>
              </w:rPr>
              <w:t xml:space="preserve">Correlation with Default</w:t>
            </w:r>
          </w:p>
        </w:tc>
        <w:tc>
          <w:tcPr>
            <w:tcW w:type="dxa" w:w="3000"/>
            <w:shd w:fill="1A2B4C" w:val="clear"/>
            <w:tcMar>
              <w:top w:type="dxa" w:w="100"/>
              <w:left w:type="dxa" w:w="120"/>
              <w:bottom w:type="dxa" w:w="100"/>
              <w:right w:type="dxa" w:w="120"/>
            </w:tcMar>
          </w:tcPr>
          <w:p>
            <w:r>
              <w:rPr>
                <w:rFonts w:ascii="Calibri" w:cs="Calibri" w:eastAsia="Calibri" w:hAnsi="Calibri"/>
                <w:b/>
                <w:bCs/>
                <w:color w:val="FFFFFF"/>
                <w:sz w:val="20"/>
                <w:szCs w:val="20"/>
              </w:rPr>
              <w:t xml:space="preserve">Direction</w:t>
            </w:r>
          </w:p>
        </w:tc>
      </w:tr>
      <w:tr>
        <w:tc>
          <w:tcPr>
            <w:tcW w:type="dxa" w:w="3000"/>
            <w:tcMar>
              <w:top w:type="dxa" w:w="100"/>
              <w:left w:type="dxa" w:w="120"/>
              <w:bottom w:type="dxa" w:w="100"/>
              <w:right w:type="dxa" w:w="120"/>
            </w:tcMar>
          </w:tcPr>
          <w:p>
            <w:r>
              <w:rPr>
                <w:rFonts w:ascii="Calibri" w:cs="Calibri" w:eastAsia="Calibri" w:hAnsi="Calibri"/>
                <w:b w:val="false"/>
                <w:bCs w:val="false"/>
                <w:color w:val="222222"/>
                <w:sz w:val="20"/>
                <w:szCs w:val="20"/>
              </w:rPr>
              <w:t xml:space="preserve">Days Past Due</w:t>
            </w:r>
          </w:p>
        </w:tc>
        <w:tc>
          <w:tcPr>
            <w:tcW w:type="dxa" w:w="3000"/>
            <w:tcMar>
              <w:top w:type="dxa" w:w="100"/>
              <w:left w:type="dxa" w:w="120"/>
              <w:bottom w:type="dxa" w:w="100"/>
              <w:right w:type="dxa" w:w="120"/>
            </w:tcMar>
          </w:tcPr>
          <w:p>
            <w:r>
              <w:rPr>
                <w:rFonts w:ascii="Calibri" w:cs="Calibri" w:eastAsia="Calibri" w:hAnsi="Calibri"/>
                <w:b w:val="false"/>
                <w:bCs w:val="false"/>
                <w:color w:val="222222"/>
                <w:sz w:val="20"/>
                <w:szCs w:val="20"/>
              </w:rPr>
              <w:t xml:space="preserve">0.39</w:t>
            </w:r>
          </w:p>
        </w:tc>
        <w:tc>
          <w:tcPr>
            <w:tcW w:type="dxa" w:w="3000"/>
            <w:tcMar>
              <w:top w:type="dxa" w:w="100"/>
              <w:left w:type="dxa" w:w="120"/>
              <w:bottom w:type="dxa" w:w="100"/>
              <w:right w:type="dxa" w:w="120"/>
            </w:tcMar>
          </w:tcPr>
          <w:p>
            <w:r>
              <w:rPr>
                <w:rFonts w:ascii="Calibri" w:cs="Calibri" w:eastAsia="Calibri" w:hAnsi="Calibri"/>
                <w:b w:val="false"/>
                <w:bCs w:val="false"/>
                <w:color w:val="222222"/>
                <w:sz w:val="20"/>
                <w:szCs w:val="20"/>
              </w:rPr>
              <w:t xml:space="preserve">Strongest positive driver</w:t>
            </w:r>
          </w:p>
        </w:tc>
      </w:tr>
      <w:tr>
        <w:tc>
          <w:tcPr>
            <w:tcW w:type="dxa" w:w="3000"/>
            <w:tcMar>
              <w:top w:type="dxa" w:w="100"/>
              <w:left w:type="dxa" w:w="120"/>
              <w:bottom w:type="dxa" w:w="100"/>
              <w:right w:type="dxa" w:w="120"/>
            </w:tcMar>
          </w:tcPr>
          <w:p>
            <w:r>
              <w:rPr>
                <w:rFonts w:ascii="Calibri" w:cs="Calibri" w:eastAsia="Calibri" w:hAnsi="Calibri"/>
                <w:b w:val="false"/>
                <w:bCs w:val="false"/>
                <w:color w:val="222222"/>
                <w:sz w:val="20"/>
                <w:szCs w:val="20"/>
              </w:rPr>
              <w:t xml:space="preserve">Utilization Ratio</w:t>
            </w:r>
          </w:p>
        </w:tc>
        <w:tc>
          <w:tcPr>
            <w:tcW w:type="dxa" w:w="3000"/>
            <w:tcMar>
              <w:top w:type="dxa" w:w="100"/>
              <w:left w:type="dxa" w:w="120"/>
              <w:bottom w:type="dxa" w:w="100"/>
              <w:right w:type="dxa" w:w="120"/>
            </w:tcMar>
          </w:tcPr>
          <w:p>
            <w:r>
              <w:rPr>
                <w:rFonts w:ascii="Calibri" w:cs="Calibri" w:eastAsia="Calibri" w:hAnsi="Calibri"/>
                <w:b w:val="false"/>
                <w:bCs w:val="false"/>
                <w:color w:val="222222"/>
                <w:sz w:val="20"/>
                <w:szCs w:val="20"/>
              </w:rPr>
              <w:t xml:space="preserve">0.29</w:t>
            </w:r>
          </w:p>
        </w:tc>
        <w:tc>
          <w:tcPr>
            <w:tcW w:type="dxa" w:w="3000"/>
            <w:tcMar>
              <w:top w:type="dxa" w:w="100"/>
              <w:left w:type="dxa" w:w="120"/>
              <w:bottom w:type="dxa" w:w="100"/>
              <w:right w:type="dxa" w:w="120"/>
            </w:tcMar>
          </w:tcPr>
          <w:p>
            <w:r>
              <w:rPr>
                <w:rFonts w:ascii="Calibri" w:cs="Calibri" w:eastAsia="Calibri" w:hAnsi="Calibri"/>
                <w:b w:val="false"/>
                <w:bCs w:val="false"/>
                <w:color w:val="222222"/>
                <w:sz w:val="20"/>
                <w:szCs w:val="20"/>
              </w:rPr>
              <w:t xml:space="preserve">Strong positive driver</w:t>
            </w:r>
          </w:p>
        </w:tc>
      </w:tr>
      <w:tr>
        <w:tc>
          <w:tcPr>
            <w:tcW w:type="dxa" w:w="3000"/>
            <w:tcMar>
              <w:top w:type="dxa" w:w="100"/>
              <w:left w:type="dxa" w:w="120"/>
              <w:bottom w:type="dxa" w:w="100"/>
              <w:right w:type="dxa" w:w="120"/>
            </w:tcMar>
          </w:tcPr>
          <w:p>
            <w:r>
              <w:rPr>
                <w:rFonts w:ascii="Calibri" w:cs="Calibri" w:eastAsia="Calibri" w:hAnsi="Calibri"/>
                <w:b w:val="false"/>
                <w:bCs w:val="false"/>
                <w:color w:val="222222"/>
                <w:sz w:val="20"/>
                <w:szCs w:val="20"/>
              </w:rPr>
              <w:t xml:space="preserve">Fraud Count</w:t>
            </w:r>
          </w:p>
        </w:tc>
        <w:tc>
          <w:tcPr>
            <w:tcW w:type="dxa" w:w="3000"/>
            <w:tcMar>
              <w:top w:type="dxa" w:w="100"/>
              <w:left w:type="dxa" w:w="120"/>
              <w:bottom w:type="dxa" w:w="100"/>
              <w:right w:type="dxa" w:w="120"/>
            </w:tcMar>
          </w:tcPr>
          <w:p>
            <w:r>
              <w:rPr>
                <w:rFonts w:ascii="Calibri" w:cs="Calibri" w:eastAsia="Calibri" w:hAnsi="Calibri"/>
                <w:b w:val="false"/>
                <w:bCs w:val="false"/>
                <w:color w:val="222222"/>
                <w:sz w:val="20"/>
                <w:szCs w:val="20"/>
              </w:rPr>
              <w:t xml:space="preserve">0.19</w:t>
            </w:r>
          </w:p>
        </w:tc>
        <w:tc>
          <w:tcPr>
            <w:tcW w:type="dxa" w:w="3000"/>
            <w:tcMar>
              <w:top w:type="dxa" w:w="100"/>
              <w:left w:type="dxa" w:w="120"/>
              <w:bottom w:type="dxa" w:w="100"/>
              <w:right w:type="dxa" w:w="120"/>
            </w:tcMar>
          </w:tcPr>
          <w:p>
            <w:r>
              <w:rPr>
                <w:rFonts w:ascii="Calibri" w:cs="Calibri" w:eastAsia="Calibri" w:hAnsi="Calibri"/>
                <w:b w:val="false"/>
                <w:bCs w:val="false"/>
                <w:color w:val="222222"/>
                <w:sz w:val="20"/>
                <w:szCs w:val="20"/>
              </w:rPr>
              <w:t xml:space="preserve">Moderate positive driver</w:t>
            </w:r>
          </w:p>
        </w:tc>
      </w:tr>
      <w:tr>
        <w:tc>
          <w:tcPr>
            <w:tcW w:type="dxa" w:w="3000"/>
            <w:tcMar>
              <w:top w:type="dxa" w:w="100"/>
              <w:left w:type="dxa" w:w="120"/>
              <w:bottom w:type="dxa" w:w="100"/>
              <w:right w:type="dxa" w:w="120"/>
            </w:tcMar>
          </w:tcPr>
          <w:p>
            <w:r>
              <w:rPr>
                <w:rFonts w:ascii="Calibri" w:cs="Calibri" w:eastAsia="Calibri" w:hAnsi="Calibri"/>
                <w:b w:val="false"/>
                <w:bCs w:val="false"/>
                <w:color w:val="222222"/>
                <w:sz w:val="20"/>
                <w:szCs w:val="20"/>
              </w:rPr>
              <w:t xml:space="preserve">Payment Ratio</w:t>
            </w:r>
          </w:p>
        </w:tc>
        <w:tc>
          <w:tcPr>
            <w:tcW w:type="dxa" w:w="3000"/>
            <w:tcMar>
              <w:top w:type="dxa" w:w="100"/>
              <w:left w:type="dxa" w:w="120"/>
              <w:bottom w:type="dxa" w:w="100"/>
              <w:right w:type="dxa" w:w="120"/>
            </w:tcMar>
          </w:tcPr>
          <w:p>
            <w:r>
              <w:rPr>
                <w:rFonts w:ascii="Calibri" w:cs="Calibri" w:eastAsia="Calibri" w:hAnsi="Calibri"/>
                <w:b w:val="false"/>
                <w:bCs w:val="false"/>
                <w:color w:val="222222"/>
                <w:sz w:val="20"/>
                <w:szCs w:val="20"/>
              </w:rPr>
              <w:t xml:space="preserve">-0.12</w:t>
            </w:r>
          </w:p>
        </w:tc>
        <w:tc>
          <w:tcPr>
            <w:tcW w:type="dxa" w:w="3000"/>
            <w:tcMar>
              <w:top w:type="dxa" w:w="100"/>
              <w:left w:type="dxa" w:w="120"/>
              <w:bottom w:type="dxa" w:w="100"/>
              <w:right w:type="dxa" w:w="120"/>
            </w:tcMar>
          </w:tcPr>
          <w:p>
            <w:r>
              <w:rPr>
                <w:rFonts w:ascii="Calibri" w:cs="Calibri" w:eastAsia="Calibri" w:hAnsi="Calibri"/>
                <w:b w:val="false"/>
                <w:bCs w:val="false"/>
                <w:color w:val="222222"/>
                <w:sz w:val="20"/>
                <w:szCs w:val="20"/>
              </w:rPr>
              <w:t xml:space="preserve">Protective (reduces risk)</w:t>
            </w:r>
          </w:p>
        </w:tc>
      </w:tr>
    </w:tbl>
    <w:p>
      <w:pPr>
        <w:spacing w:after="140" w:line="276"/>
      </w:pPr>
      <w:r>
        <w:rPr>
          <w:rFonts w:ascii="Calibri" w:cs="Calibri" w:eastAsia="Calibri" w:hAnsi="Calibri"/>
          <w:color w:val="222222"/>
          <w:sz w:val="21"/>
          <w:szCs w:val="21"/>
        </w:rPr>
        <w:t xml:space="preserve"/>
      </w:r>
    </w:p>
    <w:p>
      <w:pPr>
        <w:pStyle w:val="Heading2"/>
        <w:spacing w:after="120" w:before="220"/>
      </w:pPr>
      <w:r>
        <w:rPr>
          <w:rFonts w:ascii="Calibri" w:cs="Calibri" w:eastAsia="Calibri" w:hAnsi="Calibri"/>
          <w:b/>
          <w:bCs/>
          <w:color w:val="1A2B4C"/>
          <w:sz w:val="24"/>
          <w:szCs w:val="24"/>
        </w:rPr>
        <w:t xml:space="preserve">Fraud as a Compounding Risk Factor</w:t>
      </w:r>
    </w:p>
    <w:p>
      <w:pPr>
        <w:spacing w:after="140" w:line="276"/>
      </w:pPr>
      <w:r>
        <w:rPr>
          <w:rFonts w:ascii="Calibri" w:cs="Calibri" w:eastAsia="Calibri" w:hAnsi="Calibri"/>
          <w:color w:val="222222"/>
          <w:sz w:val="21"/>
          <w:szCs w:val="21"/>
        </w:rPr>
        <w:t xml:space="preserve">Default rate rises sharply and near-monotonically with fraud alert count: 44.99% with zero alerts, climbing to 100% at five alerts. This is one of the clearest, most actionable signals in the dataset.</w:t>
      </w:r>
    </w:p>
    <w:p>
      <w:pPr>
        <w:pStyle w:val="Heading2"/>
        <w:spacing w:after="120" w:before="220"/>
      </w:pPr>
      <w:r>
        <w:rPr>
          <w:rFonts w:ascii="Calibri" w:cs="Calibri" w:eastAsia="Calibri" w:hAnsi="Calibri"/>
          <w:b/>
          <w:bCs/>
          <w:color w:val="1A2B4C"/>
          <w:sz w:val="24"/>
          <w:szCs w:val="24"/>
        </w:rPr>
        <w:t xml:space="preserve">A Notable Null Result: Demographics Do Not Drive Risk</w:t>
      </w:r>
    </w:p>
    <w:p>
      <w:pPr>
        <w:spacing w:after="140" w:line="276"/>
      </w:pPr>
      <w:r>
        <w:rPr>
          <w:rFonts w:ascii="Calibri" w:cs="Calibri" w:eastAsia="Calibri" w:hAnsi="Calibri"/>
          <w:color w:val="222222"/>
          <w:sz w:val="21"/>
          <w:szCs w:val="21"/>
        </w:rPr>
        <w:t xml:space="preserve">City, occupation, age band, and income band were each tested against default rate. In every case, the result was flat — default rate varied by less than three percentage points across all groups within each category (approximately 50-53% throughout). This indicates that, within this portfolio, default risk is driven by account-level behavior rather than customer demographics — an important finding for shaping fair, effective risk policy.</w:t>
      </w:r>
    </w:p>
    <w:p>
      <w:r>
        <w:br w:type="page"/>
      </w:r>
    </w:p>
    <w:p>
      <w:pPr>
        <w:pStyle w:val="Heading1"/>
        <w:spacing w:after="160" w:before="300"/>
      </w:pPr>
      <w:r>
        <w:rPr>
          <w:rFonts w:ascii="Calibri" w:cs="Calibri" w:eastAsia="Calibri" w:hAnsi="Calibri"/>
          <w:b/>
          <w:bCs/>
          <w:color w:val="1A2B4C"/>
          <w:sz w:val="30"/>
          <w:szCs w:val="30"/>
        </w:rPr>
        <w:t xml:space="preserve">6. Predictive Model: Logistic Regression</w:t>
      </w:r>
    </w:p>
    <w:p>
      <w:pPr>
        <w:spacing w:after="140" w:line="276"/>
      </w:pPr>
      <w:r>
        <w:rPr>
          <w:rFonts w:ascii="Calibri" w:cs="Calibri" w:eastAsia="Calibri" w:hAnsi="Calibri"/>
          <w:color w:val="222222"/>
          <w:sz w:val="21"/>
          <w:szCs w:val="21"/>
        </w:rPr>
        <w:t xml:space="preserve">A Logistic Regression model was selected specifically for its interpretability — the industry standard in credit risk, where regulators and risk committees require an explainable basis for every score. The model predicts default_flag using five features: utilization ratio, days past due, fraud count, payment ratio, and account age.</w:t>
      </w:r>
    </w:p>
    <w:p>
      <w:pPr>
        <w:pStyle w:val="Heading2"/>
        <w:spacing w:after="120" w:before="220"/>
      </w:pPr>
      <w:r>
        <w:rPr>
          <w:rFonts w:ascii="Calibri" w:cs="Calibri" w:eastAsia="Calibri" w:hAnsi="Calibri"/>
          <w:b/>
          <w:bCs/>
          <w:color w:val="1A2B4C"/>
          <w:sz w:val="24"/>
          <w:szCs w:val="24"/>
        </w:rPr>
        <w:t xml:space="preserve">Model Performance (held-out 20% test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A2B4C" w:val="clear"/>
            <w:tcMar>
              <w:top w:type="dxa" w:w="100"/>
              <w:left w:type="dxa" w:w="120"/>
              <w:bottom w:type="dxa" w:w="100"/>
              <w:right w:type="dxa" w:w="120"/>
            </w:tcMar>
          </w:tcPr>
          <w:p>
            <w:r>
              <w:rPr>
                <w:rFonts w:ascii="Calibri" w:cs="Calibri" w:eastAsia="Calibri" w:hAnsi="Calibri"/>
                <w:b/>
                <w:bCs/>
                <w:color w:val="FFFFFF"/>
                <w:sz w:val="20"/>
                <w:szCs w:val="20"/>
              </w:rPr>
              <w:t xml:space="preserve">Metric</w:t>
            </w:r>
          </w:p>
        </w:tc>
        <w:tc>
          <w:tcPr>
            <w:tcW w:type="dxa" w:w="4500"/>
            <w:shd w:fill="1A2B4C" w:val="clear"/>
            <w:tcMar>
              <w:top w:type="dxa" w:w="100"/>
              <w:left w:type="dxa" w:w="120"/>
              <w:bottom w:type="dxa" w:w="100"/>
              <w:right w:type="dxa" w:w="120"/>
            </w:tcMar>
          </w:tcPr>
          <w:p>
            <w:r>
              <w:rPr>
                <w:rFonts w:ascii="Calibri" w:cs="Calibri" w:eastAsia="Calibri" w:hAnsi="Calibri"/>
                <w:b/>
                <w:bCs/>
                <w:color w:val="FFFFFF"/>
                <w:sz w:val="20"/>
                <w:szCs w:val="20"/>
              </w:rPr>
              <w:t xml:space="preserve">Score</w:t>
            </w:r>
          </w:p>
        </w:tc>
      </w:tr>
      <w:tr>
        <w:tc>
          <w:tcPr>
            <w:tcW w:type="dxa" w:w="4500"/>
            <w:tcMar>
              <w:top w:type="dxa" w:w="100"/>
              <w:left w:type="dxa" w:w="120"/>
              <w:bottom w:type="dxa" w:w="100"/>
              <w:right w:type="dxa" w:w="120"/>
            </w:tcMar>
          </w:tcPr>
          <w:p>
            <w:r>
              <w:rPr>
                <w:rFonts w:ascii="Calibri" w:cs="Calibri" w:eastAsia="Calibri" w:hAnsi="Calibri"/>
                <w:b w:val="false"/>
                <w:bCs w:val="false"/>
                <w:color w:val="222222"/>
                <w:sz w:val="20"/>
                <w:szCs w:val="20"/>
              </w:rPr>
              <w:t xml:space="preserve">ROC-AUC</w:t>
            </w:r>
          </w:p>
        </w:tc>
        <w:tc>
          <w:tcPr>
            <w:tcW w:type="dxa" w:w="4500"/>
            <w:tcMar>
              <w:top w:type="dxa" w:w="100"/>
              <w:left w:type="dxa" w:w="120"/>
              <w:bottom w:type="dxa" w:w="100"/>
              <w:right w:type="dxa" w:w="120"/>
            </w:tcMar>
          </w:tcPr>
          <w:p>
            <w:r>
              <w:rPr>
                <w:rFonts w:ascii="Calibri" w:cs="Calibri" w:eastAsia="Calibri" w:hAnsi="Calibri"/>
                <w:b w:val="false"/>
                <w:bCs w:val="false"/>
                <w:color w:val="222222"/>
                <w:sz w:val="20"/>
                <w:szCs w:val="20"/>
              </w:rPr>
              <w:t xml:space="preserve">0.83</w:t>
            </w:r>
          </w:p>
        </w:tc>
      </w:tr>
      <w:tr>
        <w:tc>
          <w:tcPr>
            <w:tcW w:type="dxa" w:w="4500"/>
            <w:tcMar>
              <w:top w:type="dxa" w:w="100"/>
              <w:left w:type="dxa" w:w="120"/>
              <w:bottom w:type="dxa" w:w="100"/>
              <w:right w:type="dxa" w:w="120"/>
            </w:tcMar>
          </w:tcPr>
          <w:p>
            <w:r>
              <w:rPr>
                <w:rFonts w:ascii="Calibri" w:cs="Calibri" w:eastAsia="Calibri" w:hAnsi="Calibri"/>
                <w:b w:val="false"/>
                <w:bCs w:val="false"/>
                <w:color w:val="222222"/>
                <w:sz w:val="20"/>
                <w:szCs w:val="20"/>
              </w:rPr>
              <w:t xml:space="preserve">Accuracy</w:t>
            </w:r>
          </w:p>
        </w:tc>
        <w:tc>
          <w:tcPr>
            <w:tcW w:type="dxa" w:w="4500"/>
            <w:tcMar>
              <w:top w:type="dxa" w:w="100"/>
              <w:left w:type="dxa" w:w="120"/>
              <w:bottom w:type="dxa" w:w="100"/>
              <w:right w:type="dxa" w:w="120"/>
            </w:tcMar>
          </w:tcPr>
          <w:p>
            <w:r>
              <w:rPr>
                <w:rFonts w:ascii="Calibri" w:cs="Calibri" w:eastAsia="Calibri" w:hAnsi="Calibri"/>
                <w:b w:val="false"/>
                <w:bCs w:val="false"/>
                <w:color w:val="222222"/>
                <w:sz w:val="20"/>
                <w:szCs w:val="20"/>
              </w:rPr>
              <w:t xml:space="preserve">75%</w:t>
            </w:r>
          </w:p>
        </w:tc>
      </w:tr>
      <w:tr>
        <w:tc>
          <w:tcPr>
            <w:tcW w:type="dxa" w:w="4500"/>
            <w:tcMar>
              <w:top w:type="dxa" w:w="100"/>
              <w:left w:type="dxa" w:w="120"/>
              <w:bottom w:type="dxa" w:w="100"/>
              <w:right w:type="dxa" w:w="120"/>
            </w:tcMar>
          </w:tcPr>
          <w:p>
            <w:r>
              <w:rPr>
                <w:rFonts w:ascii="Calibri" w:cs="Calibri" w:eastAsia="Calibri" w:hAnsi="Calibri"/>
                <w:b w:val="false"/>
                <w:bCs w:val="false"/>
                <w:color w:val="222222"/>
                <w:sz w:val="20"/>
                <w:szCs w:val="20"/>
              </w:rPr>
              <w:t xml:space="preserve">Precision (Default class)</w:t>
            </w:r>
          </w:p>
        </w:tc>
        <w:tc>
          <w:tcPr>
            <w:tcW w:type="dxa" w:w="4500"/>
            <w:tcMar>
              <w:top w:type="dxa" w:w="100"/>
              <w:left w:type="dxa" w:w="120"/>
              <w:bottom w:type="dxa" w:w="100"/>
              <w:right w:type="dxa" w:w="120"/>
            </w:tcMar>
          </w:tcPr>
          <w:p>
            <w:r>
              <w:rPr>
                <w:rFonts w:ascii="Calibri" w:cs="Calibri" w:eastAsia="Calibri" w:hAnsi="Calibri"/>
                <w:b w:val="false"/>
                <w:bCs w:val="false"/>
                <w:color w:val="222222"/>
                <w:sz w:val="20"/>
                <w:szCs w:val="20"/>
              </w:rPr>
              <w:t xml:space="preserve">76%</w:t>
            </w:r>
          </w:p>
        </w:tc>
      </w:tr>
      <w:tr>
        <w:tc>
          <w:tcPr>
            <w:tcW w:type="dxa" w:w="4500"/>
            <w:tcMar>
              <w:top w:type="dxa" w:w="100"/>
              <w:left w:type="dxa" w:w="120"/>
              <w:bottom w:type="dxa" w:w="100"/>
              <w:right w:type="dxa" w:w="120"/>
            </w:tcMar>
          </w:tcPr>
          <w:p>
            <w:r>
              <w:rPr>
                <w:rFonts w:ascii="Calibri" w:cs="Calibri" w:eastAsia="Calibri" w:hAnsi="Calibri"/>
                <w:b w:val="false"/>
                <w:bCs w:val="false"/>
                <w:color w:val="222222"/>
                <w:sz w:val="20"/>
                <w:szCs w:val="20"/>
              </w:rPr>
              <w:t xml:space="preserve">Recall (Default class)</w:t>
            </w:r>
          </w:p>
        </w:tc>
        <w:tc>
          <w:tcPr>
            <w:tcW w:type="dxa" w:w="4500"/>
            <w:tcMar>
              <w:top w:type="dxa" w:w="100"/>
              <w:left w:type="dxa" w:w="120"/>
              <w:bottom w:type="dxa" w:w="100"/>
              <w:right w:type="dxa" w:w="120"/>
            </w:tcMar>
          </w:tcPr>
          <w:p>
            <w:r>
              <w:rPr>
                <w:rFonts w:ascii="Calibri" w:cs="Calibri" w:eastAsia="Calibri" w:hAnsi="Calibri"/>
                <w:b w:val="false"/>
                <w:bCs w:val="false"/>
                <w:color w:val="222222"/>
                <w:sz w:val="20"/>
                <w:szCs w:val="20"/>
              </w:rPr>
              <w:t xml:space="preserve">77%</w:t>
            </w:r>
          </w:p>
        </w:tc>
      </w:tr>
      <w:tr>
        <w:tc>
          <w:tcPr>
            <w:tcW w:type="dxa" w:w="4500"/>
            <w:tcMar>
              <w:top w:type="dxa" w:w="100"/>
              <w:left w:type="dxa" w:w="120"/>
              <w:bottom w:type="dxa" w:w="100"/>
              <w:right w:type="dxa" w:w="120"/>
            </w:tcMar>
          </w:tcPr>
          <w:p>
            <w:r>
              <w:rPr>
                <w:rFonts w:ascii="Calibri" w:cs="Calibri" w:eastAsia="Calibri" w:hAnsi="Calibri"/>
                <w:b w:val="false"/>
                <w:bCs w:val="false"/>
                <w:color w:val="222222"/>
                <w:sz w:val="20"/>
                <w:szCs w:val="20"/>
              </w:rPr>
              <w:t xml:space="preserve">F1-Score (Default class)</w:t>
            </w:r>
          </w:p>
        </w:tc>
        <w:tc>
          <w:tcPr>
            <w:tcW w:type="dxa" w:w="4500"/>
            <w:tcMar>
              <w:top w:type="dxa" w:w="100"/>
              <w:left w:type="dxa" w:w="120"/>
              <w:bottom w:type="dxa" w:w="100"/>
              <w:right w:type="dxa" w:w="120"/>
            </w:tcMar>
          </w:tcPr>
          <w:p>
            <w:r>
              <w:rPr>
                <w:rFonts w:ascii="Calibri" w:cs="Calibri" w:eastAsia="Calibri" w:hAnsi="Calibri"/>
                <w:b w:val="false"/>
                <w:bCs w:val="false"/>
                <w:color w:val="222222"/>
                <w:sz w:val="20"/>
                <w:szCs w:val="20"/>
              </w:rPr>
              <w:t xml:space="preserve">76%</w:t>
            </w:r>
          </w:p>
        </w:tc>
      </w:tr>
    </w:tbl>
    <w:p>
      <w:pPr>
        <w:spacing w:after="140" w:line="276"/>
      </w:pPr>
      <w:r>
        <w:rPr>
          <w:rFonts w:ascii="Calibri" w:cs="Calibri" w:eastAsia="Calibri" w:hAnsi="Calibri"/>
          <w:color w:val="222222"/>
          <w:sz w:val="21"/>
          <w:szCs w:val="21"/>
        </w:rPr>
        <w:t xml:space="preserve"/>
      </w:r>
    </w:p>
    <w:p>
      <w:pPr>
        <w:spacing w:after="140" w:line="276"/>
      </w:pPr>
      <w:r>
        <w:rPr>
          <w:rFonts w:ascii="Calibri" w:cs="Calibri" w:eastAsia="Calibri" w:hAnsi="Calibri"/>
          <w:color w:val="222222"/>
          <w:sz w:val="21"/>
          <w:szCs w:val="21"/>
        </w:rPr>
        <w:t xml:space="preserve">An ROC-AUC of 0.83 exceeds the 0.75 target set for this project and sits within the range considered strong for real-world banking risk models. The model's feature-importance ranking matched the independent EDA correlation ranking exactly — Days Past Due first, Utilization Ratio second, Fraud Count third, Payment Ratio as the sole protective factor — and Account Age was found to be a negligible predictor (coefficient ≈ -0.007).</w:t>
      </w:r>
    </w:p>
    <w:p>
      <w:pPr>
        <w:pStyle w:val="Heading2"/>
        <w:spacing w:after="120" w:before="220"/>
      </w:pPr>
      <w:r>
        <w:rPr>
          <w:rFonts w:ascii="Calibri" w:cs="Calibri" w:eastAsia="Calibri" w:hAnsi="Calibri"/>
          <w:b/>
          <w:bCs/>
          <w:color w:val="1A2B4C"/>
          <w:sz w:val="24"/>
          <w:szCs w:val="24"/>
        </w:rPr>
        <w:t xml:space="preserve">Confusion Matrix (Test Set, n=4,000)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A2B4C" w:val="clear"/>
            <w:tcMar>
              <w:top w:type="dxa" w:w="100"/>
              <w:left w:type="dxa" w:w="120"/>
              <w:bottom w:type="dxa" w:w="100"/>
              <w:right w:type="dxa" w:w="120"/>
            </w:tcMar>
          </w:tcPr>
          <w:p>
            <w:r>
              <w:rPr>
                <w:rFonts w:ascii="Calibri" w:cs="Calibri" w:eastAsia="Calibri" w:hAnsi="Calibri"/>
                <w:b/>
                <w:bCs/>
                <w:color w:val="FFFFFF"/>
                <w:sz w:val="20"/>
                <w:szCs w:val="20"/>
              </w:rPr>
              <w:t xml:space="preserve"/>
            </w:r>
          </w:p>
        </w:tc>
        <w:tc>
          <w:tcPr>
            <w:tcW w:type="dxa" w:w="3000"/>
            <w:shd w:fill="1A2B4C" w:val="clear"/>
            <w:tcMar>
              <w:top w:type="dxa" w:w="100"/>
              <w:left w:type="dxa" w:w="120"/>
              <w:bottom w:type="dxa" w:w="100"/>
              <w:right w:type="dxa" w:w="120"/>
            </w:tcMar>
          </w:tcPr>
          <w:p>
            <w:r>
              <w:rPr>
                <w:rFonts w:ascii="Calibri" w:cs="Calibri" w:eastAsia="Calibri" w:hAnsi="Calibri"/>
                <w:b/>
                <w:bCs/>
                <w:color w:val="FFFFFF"/>
                <w:sz w:val="20"/>
                <w:szCs w:val="20"/>
              </w:rPr>
              <w:t xml:space="preserve">Predicted: No Default</w:t>
            </w:r>
          </w:p>
        </w:tc>
        <w:tc>
          <w:tcPr>
            <w:tcW w:type="dxa" w:w="3000"/>
            <w:shd w:fill="1A2B4C" w:val="clear"/>
            <w:tcMar>
              <w:top w:type="dxa" w:w="100"/>
              <w:left w:type="dxa" w:w="120"/>
              <w:bottom w:type="dxa" w:w="100"/>
              <w:right w:type="dxa" w:w="120"/>
            </w:tcMar>
          </w:tcPr>
          <w:p>
            <w:r>
              <w:rPr>
                <w:rFonts w:ascii="Calibri" w:cs="Calibri" w:eastAsia="Calibri" w:hAnsi="Calibri"/>
                <w:b/>
                <w:bCs/>
                <w:color w:val="FFFFFF"/>
                <w:sz w:val="20"/>
                <w:szCs w:val="20"/>
              </w:rPr>
              <w:t xml:space="preserve">Predicted: Default</w:t>
            </w:r>
          </w:p>
        </w:tc>
      </w:tr>
      <w:tr>
        <w:tc>
          <w:tcPr>
            <w:tcW w:type="dxa" w:w="3000"/>
            <w:tcMar>
              <w:top w:type="dxa" w:w="100"/>
              <w:left w:type="dxa" w:w="120"/>
              <w:bottom w:type="dxa" w:w="100"/>
              <w:right w:type="dxa" w:w="120"/>
            </w:tcMar>
          </w:tcPr>
          <w:p>
            <w:r>
              <w:rPr>
                <w:rFonts w:ascii="Calibri" w:cs="Calibri" w:eastAsia="Calibri" w:hAnsi="Calibri"/>
                <w:b w:val="false"/>
                <w:bCs w:val="false"/>
                <w:color w:val="222222"/>
                <w:sz w:val="20"/>
                <w:szCs w:val="20"/>
              </w:rPr>
              <w:t xml:space="preserve">Actual: No Default</w:t>
            </w:r>
          </w:p>
        </w:tc>
        <w:tc>
          <w:tcPr>
            <w:tcW w:type="dxa" w:w="3000"/>
            <w:tcMar>
              <w:top w:type="dxa" w:w="100"/>
              <w:left w:type="dxa" w:w="120"/>
              <w:bottom w:type="dxa" w:w="100"/>
              <w:right w:type="dxa" w:w="120"/>
            </w:tcMar>
          </w:tcPr>
          <w:p>
            <w:r>
              <w:rPr>
                <w:rFonts w:ascii="Calibri" w:cs="Calibri" w:eastAsia="Calibri" w:hAnsi="Calibri"/>
                <w:b w:val="false"/>
                <w:bCs w:val="false"/>
                <w:color w:val="222222"/>
                <w:sz w:val="20"/>
                <w:szCs w:val="20"/>
              </w:rPr>
              <w:t xml:space="preserve">1,407</w:t>
            </w:r>
          </w:p>
        </w:tc>
        <w:tc>
          <w:tcPr>
            <w:tcW w:type="dxa" w:w="3000"/>
            <w:tcMar>
              <w:top w:type="dxa" w:w="100"/>
              <w:left w:type="dxa" w:w="120"/>
              <w:bottom w:type="dxa" w:w="100"/>
              <w:right w:type="dxa" w:w="120"/>
            </w:tcMar>
          </w:tcPr>
          <w:p>
            <w:r>
              <w:rPr>
                <w:rFonts w:ascii="Calibri" w:cs="Calibri" w:eastAsia="Calibri" w:hAnsi="Calibri"/>
                <w:b w:val="false"/>
                <w:bCs w:val="false"/>
                <w:color w:val="222222"/>
                <w:sz w:val="20"/>
                <w:szCs w:val="20"/>
              </w:rPr>
              <w:t xml:space="preserve">515</w:t>
            </w:r>
          </w:p>
        </w:tc>
      </w:tr>
      <w:tr>
        <w:tc>
          <w:tcPr>
            <w:tcW w:type="dxa" w:w="3000"/>
            <w:tcMar>
              <w:top w:type="dxa" w:w="100"/>
              <w:left w:type="dxa" w:w="120"/>
              <w:bottom w:type="dxa" w:w="100"/>
              <w:right w:type="dxa" w:w="120"/>
            </w:tcMar>
          </w:tcPr>
          <w:p>
            <w:r>
              <w:rPr>
                <w:rFonts w:ascii="Calibri" w:cs="Calibri" w:eastAsia="Calibri" w:hAnsi="Calibri"/>
                <w:b w:val="false"/>
                <w:bCs w:val="false"/>
                <w:color w:val="222222"/>
                <w:sz w:val="20"/>
                <w:szCs w:val="20"/>
              </w:rPr>
              <w:t xml:space="preserve">Actual: Default</w:t>
            </w:r>
          </w:p>
        </w:tc>
        <w:tc>
          <w:tcPr>
            <w:tcW w:type="dxa" w:w="3000"/>
            <w:tcMar>
              <w:top w:type="dxa" w:w="100"/>
              <w:left w:type="dxa" w:w="120"/>
              <w:bottom w:type="dxa" w:w="100"/>
              <w:right w:type="dxa" w:w="120"/>
            </w:tcMar>
          </w:tcPr>
          <w:p>
            <w:r>
              <w:rPr>
                <w:rFonts w:ascii="Calibri" w:cs="Calibri" w:eastAsia="Calibri" w:hAnsi="Calibri"/>
                <w:b w:val="false"/>
                <w:bCs w:val="false"/>
                <w:color w:val="222222"/>
                <w:sz w:val="20"/>
                <w:szCs w:val="20"/>
              </w:rPr>
              <w:t xml:space="preserve">478</w:t>
            </w:r>
          </w:p>
        </w:tc>
        <w:tc>
          <w:tcPr>
            <w:tcW w:type="dxa" w:w="3000"/>
            <w:tcMar>
              <w:top w:type="dxa" w:w="100"/>
              <w:left w:type="dxa" w:w="120"/>
              <w:bottom w:type="dxa" w:w="100"/>
              <w:right w:type="dxa" w:w="120"/>
            </w:tcMar>
          </w:tcPr>
          <w:p>
            <w:r>
              <w:rPr>
                <w:rFonts w:ascii="Calibri" w:cs="Calibri" w:eastAsia="Calibri" w:hAnsi="Calibri"/>
                <w:b w:val="false"/>
                <w:bCs w:val="false"/>
                <w:color w:val="222222"/>
                <w:sz w:val="20"/>
                <w:szCs w:val="20"/>
              </w:rPr>
              <w:t xml:space="preserve">1,600</w:t>
            </w:r>
          </w:p>
        </w:tc>
      </w:tr>
    </w:tbl>
    <w:p>
      <w:r>
        <w:br w:type="page"/>
      </w:r>
    </w:p>
    <w:p>
      <w:pPr>
        <w:pStyle w:val="Heading1"/>
        <w:spacing w:after="160" w:before="300"/>
      </w:pPr>
      <w:r>
        <w:rPr>
          <w:rFonts w:ascii="Calibri" w:cs="Calibri" w:eastAsia="Calibri" w:hAnsi="Calibri"/>
          <w:b/>
          <w:bCs/>
          <w:color w:val="1A2B4C"/>
          <w:sz w:val="30"/>
          <w:szCs w:val="30"/>
        </w:rPr>
        <w:t xml:space="preserve">7. Forward-Looking Risk: 6-Month Forecast</w:t>
      </w:r>
    </w:p>
    <w:p>
      <w:pPr>
        <w:spacing w:after="140" w:line="276"/>
      </w:pPr>
      <w:r>
        <w:rPr>
          <w:rFonts w:ascii="Calibri" w:cs="Calibri" w:eastAsia="Calibri" w:hAnsi="Calibri"/>
          <w:color w:val="222222"/>
          <w:sz w:val="21"/>
          <w:szCs w:val="21"/>
        </w:rPr>
        <w:t xml:space="preserve">Historical monthly default rate (using a 90+ days-past-due proxy) was tracked from January 2023 through December 2025. The series held in a narrow, stable band of 10.6% to 11.8%, with no sustained upward or downward trend and no clear seasonality.</w:t>
      </w:r>
    </w:p>
    <w:p>
      <w:pPr>
        <w:spacing w:after="140" w:line="276"/>
      </w:pPr>
      <w:r>
        <w:rPr>
          <w:rFonts w:ascii="Calibri" w:cs="Calibri" w:eastAsia="Calibri" w:hAnsi="Calibri"/>
          <w:color w:val="222222"/>
          <w:sz w:val="21"/>
          <w:szCs w:val="21"/>
        </w:rPr>
        <w:t xml:space="preserve">An ARIMA(1,0,1) model — appropriate given the flat, stationary nature of the series — was used to forecast the next six months.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A2B4C" w:val="clear"/>
            <w:tcMar>
              <w:top w:type="dxa" w:w="100"/>
              <w:left w:type="dxa" w:w="120"/>
              <w:bottom w:type="dxa" w:w="100"/>
              <w:right w:type="dxa" w:w="120"/>
            </w:tcMar>
          </w:tcPr>
          <w:p>
            <w:r>
              <w:rPr>
                <w:rFonts w:ascii="Calibri" w:cs="Calibri" w:eastAsia="Calibri" w:hAnsi="Calibri"/>
                <w:b/>
                <w:bCs/>
                <w:color w:val="FFFFFF"/>
                <w:sz w:val="20"/>
                <w:szCs w:val="20"/>
              </w:rPr>
              <w:t xml:space="preserve">Month</w:t>
            </w:r>
          </w:p>
        </w:tc>
        <w:tc>
          <w:tcPr>
            <w:tcW w:type="dxa" w:w="2250"/>
            <w:shd w:fill="1A2B4C" w:val="clear"/>
            <w:tcMar>
              <w:top w:type="dxa" w:w="100"/>
              <w:left w:type="dxa" w:w="120"/>
              <w:bottom w:type="dxa" w:w="100"/>
              <w:right w:type="dxa" w:w="120"/>
            </w:tcMar>
          </w:tcPr>
          <w:p>
            <w:r>
              <w:rPr>
                <w:rFonts w:ascii="Calibri" w:cs="Calibri" w:eastAsia="Calibri" w:hAnsi="Calibri"/>
                <w:b/>
                <w:bCs/>
                <w:color w:val="FFFFFF"/>
                <w:sz w:val="20"/>
                <w:szCs w:val="20"/>
              </w:rPr>
              <w:t xml:space="preserve">Forecast Default Rate</w:t>
            </w:r>
          </w:p>
        </w:tc>
        <w:tc>
          <w:tcPr>
            <w:tcW w:type="dxa" w:w="2250"/>
            <w:shd w:fill="1A2B4C" w:val="clear"/>
            <w:tcMar>
              <w:top w:type="dxa" w:w="100"/>
              <w:left w:type="dxa" w:w="120"/>
              <w:bottom w:type="dxa" w:w="100"/>
              <w:right w:type="dxa" w:w="120"/>
            </w:tcMar>
          </w:tcPr>
          <w:p>
            <w:r>
              <w:rPr>
                <w:rFonts w:ascii="Calibri" w:cs="Calibri" w:eastAsia="Calibri" w:hAnsi="Calibri"/>
                <w:b/>
                <w:bCs/>
                <w:color w:val="FFFFFF"/>
                <w:sz w:val="20"/>
                <w:szCs w:val="20"/>
              </w:rPr>
              <w:t xml:space="preserve">95% CI Lower</w:t>
            </w:r>
          </w:p>
        </w:tc>
        <w:tc>
          <w:tcPr>
            <w:tcW w:type="dxa" w:w="2250"/>
            <w:shd w:fill="1A2B4C" w:val="clear"/>
            <w:tcMar>
              <w:top w:type="dxa" w:w="100"/>
              <w:left w:type="dxa" w:w="120"/>
              <w:bottom w:type="dxa" w:w="100"/>
              <w:right w:type="dxa" w:w="120"/>
            </w:tcMar>
          </w:tcPr>
          <w:p>
            <w:r>
              <w:rPr>
                <w:rFonts w:ascii="Calibri" w:cs="Calibri" w:eastAsia="Calibri" w:hAnsi="Calibri"/>
                <w:b/>
                <w:bCs/>
                <w:color w:val="FFFFFF"/>
                <w:sz w:val="20"/>
                <w:szCs w:val="20"/>
              </w:rPr>
              <w:t xml:space="preserve">95% CI Upper</w:t>
            </w:r>
          </w:p>
        </w:tc>
      </w:tr>
      <w:tr>
        <w:tc>
          <w:tcPr>
            <w:tcW w:type="dxa" w:w="2250"/>
            <w:tcMar>
              <w:top w:type="dxa" w:w="100"/>
              <w:left w:type="dxa" w:w="120"/>
              <w:bottom w:type="dxa" w:w="100"/>
              <w:right w:type="dxa" w:w="120"/>
            </w:tcMar>
          </w:tcPr>
          <w:p>
            <w:r>
              <w:rPr>
                <w:rFonts w:ascii="Calibri" w:cs="Calibri" w:eastAsia="Calibri" w:hAnsi="Calibri"/>
                <w:b w:val="false"/>
                <w:bCs w:val="false"/>
                <w:color w:val="222222"/>
                <w:sz w:val="20"/>
                <w:szCs w:val="20"/>
              </w:rPr>
              <w:t xml:space="preserve">Jan 2026</w:t>
            </w:r>
          </w:p>
        </w:tc>
        <w:tc>
          <w:tcPr>
            <w:tcW w:type="dxa" w:w="2250"/>
            <w:tcMar>
              <w:top w:type="dxa" w:w="100"/>
              <w:left w:type="dxa" w:w="120"/>
              <w:bottom w:type="dxa" w:w="100"/>
              <w:right w:type="dxa" w:w="120"/>
            </w:tcMar>
          </w:tcPr>
          <w:p>
            <w:r>
              <w:rPr>
                <w:rFonts w:ascii="Calibri" w:cs="Calibri" w:eastAsia="Calibri" w:hAnsi="Calibri"/>
                <w:b w:val="false"/>
                <w:bCs w:val="false"/>
                <w:color w:val="222222"/>
                <w:sz w:val="20"/>
                <w:szCs w:val="20"/>
              </w:rPr>
              <w:t xml:space="preserve">11.09%</w:t>
            </w:r>
          </w:p>
        </w:tc>
        <w:tc>
          <w:tcPr>
            <w:tcW w:type="dxa" w:w="2250"/>
            <w:tcMar>
              <w:top w:type="dxa" w:w="100"/>
              <w:left w:type="dxa" w:w="120"/>
              <w:bottom w:type="dxa" w:w="100"/>
              <w:right w:type="dxa" w:w="120"/>
            </w:tcMar>
          </w:tcPr>
          <w:p>
            <w:r>
              <w:rPr>
                <w:rFonts w:ascii="Calibri" w:cs="Calibri" w:eastAsia="Calibri" w:hAnsi="Calibri"/>
                <w:b w:val="false"/>
                <w:bCs w:val="false"/>
                <w:color w:val="222222"/>
                <w:sz w:val="20"/>
                <w:szCs w:val="20"/>
              </w:rPr>
              <w:t xml:space="preserve">10.57%</w:t>
            </w:r>
          </w:p>
        </w:tc>
        <w:tc>
          <w:tcPr>
            <w:tcW w:type="dxa" w:w="2250"/>
            <w:tcMar>
              <w:top w:type="dxa" w:w="100"/>
              <w:left w:type="dxa" w:w="120"/>
              <w:bottom w:type="dxa" w:w="100"/>
              <w:right w:type="dxa" w:w="120"/>
            </w:tcMar>
          </w:tcPr>
          <w:p>
            <w:r>
              <w:rPr>
                <w:rFonts w:ascii="Calibri" w:cs="Calibri" w:eastAsia="Calibri" w:hAnsi="Calibri"/>
                <w:b w:val="false"/>
                <w:bCs w:val="false"/>
                <w:color w:val="222222"/>
                <w:sz w:val="20"/>
                <w:szCs w:val="20"/>
              </w:rPr>
              <w:t xml:space="preserve">11.61%</w:t>
            </w:r>
          </w:p>
        </w:tc>
      </w:tr>
      <w:tr>
        <w:tc>
          <w:tcPr>
            <w:tcW w:type="dxa" w:w="2250"/>
            <w:tcMar>
              <w:top w:type="dxa" w:w="100"/>
              <w:left w:type="dxa" w:w="120"/>
              <w:bottom w:type="dxa" w:w="100"/>
              <w:right w:type="dxa" w:w="120"/>
            </w:tcMar>
          </w:tcPr>
          <w:p>
            <w:r>
              <w:rPr>
                <w:rFonts w:ascii="Calibri" w:cs="Calibri" w:eastAsia="Calibri" w:hAnsi="Calibri"/>
                <w:b w:val="false"/>
                <w:bCs w:val="false"/>
                <w:color w:val="222222"/>
                <w:sz w:val="20"/>
                <w:szCs w:val="20"/>
              </w:rPr>
              <w:t xml:space="preserve">Feb 2026</w:t>
            </w:r>
          </w:p>
        </w:tc>
        <w:tc>
          <w:tcPr>
            <w:tcW w:type="dxa" w:w="2250"/>
            <w:tcMar>
              <w:top w:type="dxa" w:w="100"/>
              <w:left w:type="dxa" w:w="120"/>
              <w:bottom w:type="dxa" w:w="100"/>
              <w:right w:type="dxa" w:w="120"/>
            </w:tcMar>
          </w:tcPr>
          <w:p>
            <w:r>
              <w:rPr>
                <w:rFonts w:ascii="Calibri" w:cs="Calibri" w:eastAsia="Calibri" w:hAnsi="Calibri"/>
                <w:b w:val="false"/>
                <w:bCs w:val="false"/>
                <w:color w:val="222222"/>
                <w:sz w:val="20"/>
                <w:szCs w:val="20"/>
              </w:rPr>
              <w:t xml:space="preserve">11.10%</w:t>
            </w:r>
          </w:p>
        </w:tc>
        <w:tc>
          <w:tcPr>
            <w:tcW w:type="dxa" w:w="2250"/>
            <w:tcMar>
              <w:top w:type="dxa" w:w="100"/>
              <w:left w:type="dxa" w:w="120"/>
              <w:bottom w:type="dxa" w:w="100"/>
              <w:right w:type="dxa" w:w="120"/>
            </w:tcMar>
          </w:tcPr>
          <w:p>
            <w:r>
              <w:rPr>
                <w:rFonts w:ascii="Calibri" w:cs="Calibri" w:eastAsia="Calibri" w:hAnsi="Calibri"/>
                <w:b w:val="false"/>
                <w:bCs w:val="false"/>
                <w:color w:val="222222"/>
                <w:sz w:val="20"/>
                <w:szCs w:val="20"/>
              </w:rPr>
              <w:t xml:space="preserve">10.58%</w:t>
            </w:r>
          </w:p>
        </w:tc>
        <w:tc>
          <w:tcPr>
            <w:tcW w:type="dxa" w:w="2250"/>
            <w:tcMar>
              <w:top w:type="dxa" w:w="100"/>
              <w:left w:type="dxa" w:w="120"/>
              <w:bottom w:type="dxa" w:w="100"/>
              <w:right w:type="dxa" w:w="120"/>
            </w:tcMar>
          </w:tcPr>
          <w:p>
            <w:r>
              <w:rPr>
                <w:rFonts w:ascii="Calibri" w:cs="Calibri" w:eastAsia="Calibri" w:hAnsi="Calibri"/>
                <w:b w:val="false"/>
                <w:bCs w:val="false"/>
                <w:color w:val="222222"/>
                <w:sz w:val="20"/>
                <w:szCs w:val="20"/>
              </w:rPr>
              <w:t xml:space="preserve">11.62%</w:t>
            </w:r>
          </w:p>
        </w:tc>
      </w:tr>
      <w:tr>
        <w:tc>
          <w:tcPr>
            <w:tcW w:type="dxa" w:w="2250"/>
            <w:tcMar>
              <w:top w:type="dxa" w:w="100"/>
              <w:left w:type="dxa" w:w="120"/>
              <w:bottom w:type="dxa" w:w="100"/>
              <w:right w:type="dxa" w:w="120"/>
            </w:tcMar>
          </w:tcPr>
          <w:p>
            <w:r>
              <w:rPr>
                <w:rFonts w:ascii="Calibri" w:cs="Calibri" w:eastAsia="Calibri" w:hAnsi="Calibri"/>
                <w:b w:val="false"/>
                <w:bCs w:val="false"/>
                <w:color w:val="222222"/>
                <w:sz w:val="20"/>
                <w:szCs w:val="20"/>
              </w:rPr>
              <w:t xml:space="preserve">Mar 2026</w:t>
            </w:r>
          </w:p>
        </w:tc>
        <w:tc>
          <w:tcPr>
            <w:tcW w:type="dxa" w:w="2250"/>
            <w:tcMar>
              <w:top w:type="dxa" w:w="100"/>
              <w:left w:type="dxa" w:w="120"/>
              <w:bottom w:type="dxa" w:w="100"/>
              <w:right w:type="dxa" w:w="120"/>
            </w:tcMar>
          </w:tcPr>
          <w:p>
            <w:r>
              <w:rPr>
                <w:rFonts w:ascii="Calibri" w:cs="Calibri" w:eastAsia="Calibri" w:hAnsi="Calibri"/>
                <w:b w:val="false"/>
                <w:bCs w:val="false"/>
                <w:color w:val="222222"/>
                <w:sz w:val="20"/>
                <w:szCs w:val="20"/>
              </w:rPr>
              <w:t xml:space="preserve">11.11%</w:t>
            </w:r>
          </w:p>
        </w:tc>
        <w:tc>
          <w:tcPr>
            <w:tcW w:type="dxa" w:w="2250"/>
            <w:tcMar>
              <w:top w:type="dxa" w:w="100"/>
              <w:left w:type="dxa" w:w="120"/>
              <w:bottom w:type="dxa" w:w="100"/>
              <w:right w:type="dxa" w:w="120"/>
            </w:tcMar>
          </w:tcPr>
          <w:p>
            <w:r>
              <w:rPr>
                <w:rFonts w:ascii="Calibri" w:cs="Calibri" w:eastAsia="Calibri" w:hAnsi="Calibri"/>
                <w:b w:val="false"/>
                <w:bCs w:val="false"/>
                <w:color w:val="222222"/>
                <w:sz w:val="20"/>
                <w:szCs w:val="20"/>
              </w:rPr>
              <w:t xml:space="preserve">10.58%</w:t>
            </w:r>
          </w:p>
        </w:tc>
        <w:tc>
          <w:tcPr>
            <w:tcW w:type="dxa" w:w="2250"/>
            <w:tcMar>
              <w:top w:type="dxa" w:w="100"/>
              <w:left w:type="dxa" w:w="120"/>
              <w:bottom w:type="dxa" w:w="100"/>
              <w:right w:type="dxa" w:w="120"/>
            </w:tcMar>
          </w:tcPr>
          <w:p>
            <w:r>
              <w:rPr>
                <w:rFonts w:ascii="Calibri" w:cs="Calibri" w:eastAsia="Calibri" w:hAnsi="Calibri"/>
                <w:b w:val="false"/>
                <w:bCs w:val="false"/>
                <w:color w:val="222222"/>
                <w:sz w:val="20"/>
                <w:szCs w:val="20"/>
              </w:rPr>
              <w:t xml:space="preserve">11.63%</w:t>
            </w:r>
          </w:p>
        </w:tc>
      </w:tr>
      <w:tr>
        <w:tc>
          <w:tcPr>
            <w:tcW w:type="dxa" w:w="2250"/>
            <w:tcMar>
              <w:top w:type="dxa" w:w="100"/>
              <w:left w:type="dxa" w:w="120"/>
              <w:bottom w:type="dxa" w:w="100"/>
              <w:right w:type="dxa" w:w="120"/>
            </w:tcMar>
          </w:tcPr>
          <w:p>
            <w:r>
              <w:rPr>
                <w:rFonts w:ascii="Calibri" w:cs="Calibri" w:eastAsia="Calibri" w:hAnsi="Calibri"/>
                <w:b w:val="false"/>
                <w:bCs w:val="false"/>
                <w:color w:val="222222"/>
                <w:sz w:val="20"/>
                <w:szCs w:val="20"/>
              </w:rPr>
              <w:t xml:space="preserve">Apr–Jun 2026</w:t>
            </w:r>
          </w:p>
        </w:tc>
        <w:tc>
          <w:tcPr>
            <w:tcW w:type="dxa" w:w="2250"/>
            <w:tcMar>
              <w:top w:type="dxa" w:w="100"/>
              <w:left w:type="dxa" w:w="120"/>
              <w:bottom w:type="dxa" w:w="100"/>
              <w:right w:type="dxa" w:w="120"/>
            </w:tcMar>
          </w:tcPr>
          <w:p>
            <w:r>
              <w:rPr>
                <w:rFonts w:ascii="Calibri" w:cs="Calibri" w:eastAsia="Calibri" w:hAnsi="Calibri"/>
                <w:b w:val="false"/>
                <w:bCs w:val="false"/>
                <w:color w:val="222222"/>
                <w:sz w:val="20"/>
                <w:szCs w:val="20"/>
              </w:rPr>
              <w:t xml:space="preserve">11.11%</w:t>
            </w:r>
          </w:p>
        </w:tc>
        <w:tc>
          <w:tcPr>
            <w:tcW w:type="dxa" w:w="2250"/>
            <w:tcMar>
              <w:top w:type="dxa" w:w="100"/>
              <w:left w:type="dxa" w:w="120"/>
              <w:bottom w:type="dxa" w:w="100"/>
              <w:right w:type="dxa" w:w="120"/>
            </w:tcMar>
          </w:tcPr>
          <w:p>
            <w:r>
              <w:rPr>
                <w:rFonts w:ascii="Calibri" w:cs="Calibri" w:eastAsia="Calibri" w:hAnsi="Calibri"/>
                <w:b w:val="false"/>
                <w:bCs w:val="false"/>
                <w:color w:val="222222"/>
                <w:sz w:val="20"/>
                <w:szCs w:val="20"/>
              </w:rPr>
              <w:t xml:space="preserve">10.58%</w:t>
            </w:r>
          </w:p>
        </w:tc>
        <w:tc>
          <w:tcPr>
            <w:tcW w:type="dxa" w:w="2250"/>
            <w:tcMar>
              <w:top w:type="dxa" w:w="100"/>
              <w:left w:type="dxa" w:w="120"/>
              <w:bottom w:type="dxa" w:w="100"/>
              <w:right w:type="dxa" w:w="120"/>
            </w:tcMar>
          </w:tcPr>
          <w:p>
            <w:r>
              <w:rPr>
                <w:rFonts w:ascii="Calibri" w:cs="Calibri" w:eastAsia="Calibri" w:hAnsi="Calibri"/>
                <w:b w:val="false"/>
                <w:bCs w:val="false"/>
                <w:color w:val="222222"/>
                <w:sz w:val="20"/>
                <w:szCs w:val="20"/>
              </w:rPr>
              <w:t xml:space="preserve">11.63%</w:t>
            </w:r>
          </w:p>
        </w:tc>
      </w:tr>
    </w:tbl>
    <w:p>
      <w:pPr>
        <w:spacing w:after="140" w:line="276"/>
      </w:pPr>
      <w:r>
        <w:rPr>
          <w:rFonts w:ascii="Calibri" w:cs="Calibri" w:eastAsia="Calibri" w:hAnsi="Calibri"/>
          <w:color w:val="222222"/>
          <w:sz w:val="21"/>
          <w:szCs w:val="21"/>
        </w:rPr>
        <w:t xml:space="preserve"/>
      </w:r>
    </w:p>
    <w:p>
      <w:pPr>
        <w:spacing w:after="140" w:line="276"/>
      </w:pPr>
      <w:r>
        <w:rPr>
          <w:rFonts w:ascii="Calibri" w:cs="Calibri" w:eastAsia="Calibri" w:hAnsi="Calibri"/>
          <w:color w:val="222222"/>
          <w:sz w:val="21"/>
          <w:szCs w:val="21"/>
        </w:rPr>
        <w:t xml:space="preserve">The forecast is consistent with historical behavior — a model that instead projected a sharp new trend from flat history would itself be cause for scrutiny. The practical reading for management: no emergency reallocation of resources is currently justified, but the ~11% baseline should be actively maintained through continued monitoring, not treated as resolved.</w:t>
      </w:r>
    </w:p>
    <w:p>
      <w:r>
        <w:br w:type="page"/>
      </w:r>
    </w:p>
    <w:p>
      <w:pPr>
        <w:pStyle w:val="Heading1"/>
        <w:spacing w:after="160" w:before="300"/>
      </w:pPr>
      <w:r>
        <w:rPr>
          <w:rFonts w:ascii="Calibri" w:cs="Calibri" w:eastAsia="Calibri" w:hAnsi="Calibri"/>
          <w:b/>
          <w:bCs/>
          <w:color w:val="1A2B4C"/>
          <w:sz w:val="30"/>
          <w:szCs w:val="30"/>
        </w:rPr>
        <w:t xml:space="preserve">8. Power BI Dashboard</w:t>
      </w:r>
    </w:p>
    <w:p>
      <w:pPr>
        <w:spacing w:after="140" w:line="276"/>
      </w:pPr>
      <w:r>
        <w:rPr>
          <w:rFonts w:ascii="Calibri" w:cs="Calibri" w:eastAsia="Calibri" w:hAnsi="Calibri"/>
          <w:color w:val="222222"/>
          <w:sz w:val="21"/>
          <w:szCs w:val="21"/>
        </w:rPr>
        <w:t xml:space="preserve">Findings from this analysis are operationalized in a live, seven-page Power BI dashboard connected directly to the PostgreSQL data mart, enabling business users to explore the portfolio without SQL or Python expertise.</w:t>
      </w:r>
    </w:p>
    <w:p>
      <w:pPr>
        <w:pStyle w:val="ListParagraph"/>
        <w:numPr>
          <w:ilvl w:val="0"/>
          <w:numId w:val="1"/>
        </w:numPr>
        <w:spacing w:after="80"/>
      </w:pPr>
      <w:r>
        <w:rPr>
          <w:rFonts w:ascii="Calibri" w:cs="Calibri" w:eastAsia="Calibri" w:hAnsi="Calibri"/>
          <w:color w:val="222222"/>
          <w:sz w:val="21"/>
          <w:szCs w:val="21"/>
        </w:rPr>
        <w:t xml:space="preserve">Executive Summary — portfolio KPIs and risk segmentation</w:t>
      </w:r>
    </w:p>
    <w:p>
      <w:pPr>
        <w:pStyle w:val="ListParagraph"/>
        <w:numPr>
          <w:ilvl w:val="0"/>
          <w:numId w:val="1"/>
        </w:numPr>
        <w:spacing w:after="80"/>
      </w:pPr>
      <w:r>
        <w:rPr>
          <w:rFonts w:ascii="Calibri" w:cs="Calibri" w:eastAsia="Calibri" w:hAnsi="Calibri"/>
          <w:color w:val="222222"/>
          <w:sz w:val="21"/>
          <w:szCs w:val="21"/>
        </w:rPr>
        <w:t xml:space="preserve">Risk Monitoring — DPD buckets and utilization distribution</w:t>
      </w:r>
    </w:p>
    <w:p>
      <w:pPr>
        <w:pStyle w:val="ListParagraph"/>
        <w:numPr>
          <w:ilvl w:val="0"/>
          <w:numId w:val="1"/>
        </w:numPr>
        <w:spacing w:after="80"/>
      </w:pPr>
      <w:r>
        <w:rPr>
          <w:rFonts w:ascii="Calibri" w:cs="Calibri" w:eastAsia="Calibri" w:hAnsi="Calibri"/>
          <w:color w:val="222222"/>
          <w:sz w:val="21"/>
          <w:szCs w:val="21"/>
        </w:rPr>
        <w:t xml:space="preserve">Customer Analytics — demographic segmentation</w:t>
      </w:r>
    </w:p>
    <w:p>
      <w:pPr>
        <w:pStyle w:val="ListParagraph"/>
        <w:numPr>
          <w:ilvl w:val="0"/>
          <w:numId w:val="1"/>
        </w:numPr>
        <w:spacing w:after="80"/>
      </w:pPr>
      <w:r>
        <w:rPr>
          <w:rFonts w:ascii="Calibri" w:cs="Calibri" w:eastAsia="Calibri" w:hAnsi="Calibri"/>
          <w:color w:val="222222"/>
          <w:sz w:val="21"/>
          <w:szCs w:val="21"/>
        </w:rPr>
        <w:t xml:space="preserve">Fraud Dashboard — fraud type, status, and default correlation</w:t>
      </w:r>
    </w:p>
    <w:p>
      <w:pPr>
        <w:pStyle w:val="ListParagraph"/>
        <w:numPr>
          <w:ilvl w:val="0"/>
          <w:numId w:val="1"/>
        </w:numPr>
        <w:spacing w:after="80"/>
      </w:pPr>
      <w:r>
        <w:rPr>
          <w:rFonts w:ascii="Calibri" w:cs="Calibri" w:eastAsia="Calibri" w:hAnsi="Calibri"/>
          <w:color w:val="222222"/>
          <w:sz w:val="21"/>
          <w:szCs w:val="21"/>
        </w:rPr>
        <w:t xml:space="preserve">Collections Dashboard — recovery performance by segment and effort</w:t>
      </w:r>
    </w:p>
    <w:p>
      <w:pPr>
        <w:pStyle w:val="ListParagraph"/>
        <w:numPr>
          <w:ilvl w:val="0"/>
          <w:numId w:val="1"/>
        </w:numPr>
        <w:spacing w:after="80"/>
      </w:pPr>
      <w:r>
        <w:rPr>
          <w:rFonts w:ascii="Calibri" w:cs="Calibri" w:eastAsia="Calibri" w:hAnsi="Calibri"/>
          <w:color w:val="222222"/>
          <w:sz w:val="21"/>
          <w:szCs w:val="21"/>
        </w:rPr>
        <w:t xml:space="preserve">Forecast Dashboard — historical trend and 6-month outlook</w:t>
      </w:r>
    </w:p>
    <w:p>
      <w:pPr>
        <w:pStyle w:val="ListParagraph"/>
        <w:numPr>
          <w:ilvl w:val="0"/>
          <w:numId w:val="1"/>
        </w:numPr>
        <w:spacing w:after="80"/>
      </w:pPr>
      <w:r>
        <w:rPr>
          <w:rFonts w:ascii="Calibri" w:cs="Calibri" w:eastAsia="Calibri" w:hAnsi="Calibri"/>
          <w:color w:val="222222"/>
          <w:sz w:val="21"/>
          <w:szCs w:val="21"/>
        </w:rPr>
        <w:t xml:space="preserve">ML Dashboard — model metrics, feature importance, confusion matrix</w:t>
      </w:r>
    </w:p>
    <w:p>
      <w:pPr>
        <w:spacing w:after="140" w:line="276"/>
      </w:pPr>
      <w:r>
        <w:rPr>
          <w:rFonts w:ascii="Calibri" w:cs="Calibri" w:eastAsia="Calibri" w:hAnsi="Calibri"/>
          <w:color w:val="222222"/>
          <w:sz w:val="21"/>
          <w:szCs w:val="21"/>
        </w:rPr>
        <w:t xml:space="preserve"/>
      </w:r>
    </w:p>
    <w:p>
      <w:pPr>
        <w:spacing w:after="140" w:line="276"/>
      </w:pPr>
      <w:r>
        <w:rPr>
          <w:rFonts w:ascii="Calibri" w:cs="Calibri" w:eastAsia="Calibri" w:hAnsi="Calibri"/>
          <w:color w:val="222222"/>
          <w:sz w:val="21"/>
          <w:szCs w:val="21"/>
        </w:rPr>
        <w:t xml:space="preserve">Every figure shown in the dashboard was validated against the underlying SQL and Python analysis, ensuring the dashboard reflects a single, consistent source of truth.</w:t>
      </w:r>
    </w:p>
    <w:p>
      <w:r>
        <w:br w:type="page"/>
      </w:r>
    </w:p>
    <w:p>
      <w:pPr>
        <w:pStyle w:val="Heading1"/>
        <w:spacing w:after="160" w:before="300"/>
      </w:pPr>
      <w:r>
        <w:rPr>
          <w:rFonts w:ascii="Calibri" w:cs="Calibri" w:eastAsia="Calibri" w:hAnsi="Calibri"/>
          <w:b/>
          <w:bCs/>
          <w:color w:val="1A2B4C"/>
          <w:sz w:val="30"/>
          <w:szCs w:val="30"/>
        </w:rPr>
        <w:t xml:space="preserve">9. Business Recommendations</w:t>
      </w:r>
    </w:p>
    <w:p>
      <w:pPr>
        <w:pStyle w:val="Heading2"/>
        <w:spacing w:after="120" w:before="220"/>
      </w:pPr>
      <w:r>
        <w:rPr>
          <w:rFonts w:ascii="Calibri" w:cs="Calibri" w:eastAsia="Calibri" w:hAnsi="Calibri"/>
          <w:b/>
          <w:bCs/>
          <w:color w:val="1A2B4C"/>
          <w:sz w:val="24"/>
          <w:szCs w:val="24"/>
        </w:rPr>
        <w:t xml:space="preserve">1. Operationalize Early-Warning Thresholds</w:t>
      </w:r>
    </w:p>
    <w:p>
      <w:pPr>
        <w:spacing w:after="140" w:line="276"/>
      </w:pPr>
      <w:r>
        <w:rPr>
          <w:rFonts w:ascii="Calibri" w:cs="Calibri" w:eastAsia="Calibri" w:hAnsi="Calibri"/>
          <w:color w:val="222222"/>
          <w:sz w:val="21"/>
          <w:szCs w:val="21"/>
        </w:rPr>
        <w:t xml:space="preserve">Automate alerts on Days Past Due (30/60/90-day marks) and utilization above ~80%, rather than waiting for a full missed-payment cycle.</w:t>
      </w:r>
    </w:p>
    <w:p>
      <w:pPr>
        <w:pStyle w:val="Heading2"/>
        <w:spacing w:after="120" w:before="220"/>
      </w:pPr>
      <w:r>
        <w:rPr>
          <w:rFonts w:ascii="Calibri" w:cs="Calibri" w:eastAsia="Calibri" w:hAnsi="Calibri"/>
          <w:b/>
          <w:bCs/>
          <w:color w:val="1A2B4C"/>
          <w:sz w:val="24"/>
          <w:szCs w:val="24"/>
        </w:rPr>
        <w:t xml:space="preserve">2. Integrate Fraud and Credit Risk Monitoring</w:t>
      </w:r>
    </w:p>
    <w:p>
      <w:pPr>
        <w:spacing w:after="140" w:line="276"/>
      </w:pPr>
      <w:r>
        <w:rPr>
          <w:rFonts w:ascii="Calibri" w:cs="Calibri" w:eastAsia="Calibri" w:hAnsi="Calibri"/>
          <w:color w:val="222222"/>
          <w:sz w:val="21"/>
          <w:szCs w:val="21"/>
        </w:rPr>
        <w:t xml:space="preserve">Any account with a fraud alert should trigger elevated credit risk review — the two functions should share signals rather than operate independently.</w:t>
      </w:r>
    </w:p>
    <w:p>
      <w:pPr>
        <w:pStyle w:val="Heading2"/>
        <w:spacing w:after="120" w:before="220"/>
      </w:pPr>
      <w:r>
        <w:rPr>
          <w:rFonts w:ascii="Calibri" w:cs="Calibri" w:eastAsia="Calibri" w:hAnsi="Calibri"/>
          <w:b/>
          <w:bCs/>
          <w:color w:val="1A2B4C"/>
          <w:sz w:val="24"/>
          <w:szCs w:val="24"/>
        </w:rPr>
        <w:t xml:space="preserve">3. Deprioritize Demographic Segmentation</w:t>
      </w:r>
    </w:p>
    <w:p>
      <w:pPr>
        <w:spacing w:after="140" w:line="276"/>
      </w:pPr>
      <w:r>
        <w:rPr>
          <w:rFonts w:ascii="Calibri" w:cs="Calibri" w:eastAsia="Calibri" w:hAnsi="Calibri"/>
          <w:color w:val="222222"/>
          <w:sz w:val="21"/>
          <w:szCs w:val="21"/>
        </w:rPr>
        <w:t xml:space="preserve">Risk policy should be built on behavioral data (utilization, payment activity), not demographic profiling, which showed negligible predictive value here.</w:t>
      </w:r>
    </w:p>
    <w:p>
      <w:pPr>
        <w:pStyle w:val="Heading2"/>
        <w:spacing w:after="120" w:before="220"/>
      </w:pPr>
      <w:r>
        <w:rPr>
          <w:rFonts w:ascii="Calibri" w:cs="Calibri" w:eastAsia="Calibri" w:hAnsi="Calibri"/>
          <w:b/>
          <w:bCs/>
          <w:color w:val="1A2B4C"/>
          <w:sz w:val="24"/>
          <w:szCs w:val="24"/>
        </w:rPr>
        <w:t xml:space="preserve">4. Reward Strong Payment Behavior</w:t>
      </w:r>
    </w:p>
    <w:p>
      <w:pPr>
        <w:spacing w:after="140" w:line="276"/>
      </w:pPr>
      <w:r>
        <w:rPr>
          <w:rFonts w:ascii="Calibri" w:cs="Calibri" w:eastAsia="Calibri" w:hAnsi="Calibri"/>
          <w:color w:val="222222"/>
          <w:sz w:val="21"/>
          <w:szCs w:val="21"/>
        </w:rPr>
        <w:t xml:space="preserve">Consider proactive credit limit increases or fee incentives for customers with strong payment ratios — a retention and risk-reduction lever, not solely a monitoring one.</w:t>
      </w:r>
    </w:p>
    <w:p>
      <w:pPr>
        <w:pStyle w:val="Heading2"/>
        <w:spacing w:after="120" w:before="220"/>
      </w:pPr>
      <w:r>
        <w:rPr>
          <w:rFonts w:ascii="Calibri" w:cs="Calibri" w:eastAsia="Calibri" w:hAnsi="Calibri"/>
          <w:b/>
          <w:bCs/>
          <w:color w:val="1A2B4C"/>
          <w:sz w:val="24"/>
          <w:szCs w:val="24"/>
        </w:rPr>
        <w:t xml:space="preserve">5. Re-Evaluate the Collections Call Strategy</w:t>
      </w:r>
    </w:p>
    <w:p>
      <w:pPr>
        <w:spacing w:after="140" w:line="276"/>
      </w:pPr>
      <w:r>
        <w:rPr>
          <w:rFonts w:ascii="Calibri" w:cs="Calibri" w:eastAsia="Calibri" w:hAnsi="Calibri"/>
          <w:color w:val="222222"/>
          <w:sz w:val="21"/>
          <w:szCs w:val="21"/>
        </w:rPr>
        <w:t xml:space="preserve">Recovery amount showed no meaningful relationship with call attempts (flat at ~₹25,200 regardless of 1 vs. 9 attempts). Investigate timing, channel, and negotiated settlements as more effective levers.</w:t>
      </w:r>
    </w:p>
    <w:p>
      <w:pPr>
        <w:pStyle w:val="Heading2"/>
        <w:spacing w:after="120" w:before="220"/>
      </w:pPr>
      <w:r>
        <w:rPr>
          <w:rFonts w:ascii="Calibri" w:cs="Calibri" w:eastAsia="Calibri" w:hAnsi="Calibri"/>
          <w:b/>
          <w:bCs/>
          <w:color w:val="1A2B4C"/>
          <w:sz w:val="24"/>
          <w:szCs w:val="24"/>
        </w:rPr>
        <w:t xml:space="preserve">6. Pilot the Model at Credit Origination</w:t>
      </w:r>
    </w:p>
    <w:p>
      <w:pPr>
        <w:spacing w:after="140" w:line="276"/>
      </w:pPr>
      <w:r>
        <w:rPr>
          <w:rFonts w:ascii="Calibri" w:cs="Calibri" w:eastAsia="Calibri" w:hAnsi="Calibri"/>
          <w:color w:val="222222"/>
          <w:sz w:val="21"/>
          <w:szCs w:val="21"/>
        </w:rPr>
        <w:t xml:space="preserve">Extend the validated model from account monitoring to new-application scoring, on a pilot basis, with ongoing performance tracking before full deployment.</w:t>
      </w:r>
    </w:p>
    <w:p>
      <w:pPr>
        <w:pStyle w:val="Heading2"/>
        <w:spacing w:after="120" w:before="220"/>
      </w:pPr>
      <w:r>
        <w:rPr>
          <w:rFonts w:ascii="Calibri" w:cs="Calibri" w:eastAsia="Calibri" w:hAnsi="Calibri"/>
          <w:b/>
          <w:bCs/>
          <w:color w:val="1A2B4C"/>
          <w:sz w:val="24"/>
          <w:szCs w:val="24"/>
        </w:rPr>
        <w:t xml:space="preserve">7. Maintain — Not Escalate — Monitoring Investment</w:t>
      </w:r>
    </w:p>
    <w:p>
      <w:pPr>
        <w:spacing w:after="140" w:line="276"/>
      </w:pPr>
      <w:r>
        <w:rPr>
          <w:rFonts w:ascii="Calibri" w:cs="Calibri" w:eastAsia="Calibri" w:hAnsi="Calibri"/>
          <w:color w:val="222222"/>
          <w:sz w:val="21"/>
          <w:szCs w:val="21"/>
        </w:rPr>
        <w:t xml:space="preserve">The forecast shows stability, not deterioration; resourcing should stay steady, with regular forecast refreshes as macroeconomic indicators shift.</w:t>
      </w:r>
    </w:p>
    <w:p>
      <w:r>
        <w:br w:type="page"/>
      </w:r>
    </w:p>
    <w:p>
      <w:pPr>
        <w:pStyle w:val="Heading1"/>
        <w:spacing w:after="160" w:before="300"/>
      </w:pPr>
      <w:r>
        <w:rPr>
          <w:rFonts w:ascii="Calibri" w:cs="Calibri" w:eastAsia="Calibri" w:hAnsi="Calibri"/>
          <w:b/>
          <w:bCs/>
          <w:color w:val="1A2B4C"/>
          <w:sz w:val="30"/>
          <w:szCs w:val="30"/>
        </w:rPr>
        <w:t xml:space="preserve">10. Conclusion</w:t>
      </w:r>
    </w:p>
    <w:p>
      <w:pPr>
        <w:spacing w:after="140" w:line="276"/>
      </w:pPr>
      <w:r>
        <w:rPr>
          <w:rFonts w:ascii="Calibri" w:cs="Calibri" w:eastAsia="Calibri" w:hAnsi="Calibri"/>
          <w:color w:val="222222"/>
          <w:sz w:val="21"/>
          <w:szCs w:val="21"/>
        </w:rPr>
        <w:t xml:space="preserve">This analysis establishes a clear, evidence-based picture of the credit portfolio's risk profile: exposure and default levels are known and validated, the true drivers of default (payment behavior and fraud history, not demographics) are identified with consistent evidence across three independent analytical methods, a regulator-friendly predictive model exceeds its performance target, and the near-term outlook points to stability rather than crisis.</w:t>
      </w:r>
    </w:p>
    <w:p>
      <w:pPr>
        <w:spacing w:after="140" w:line="276"/>
      </w:pPr>
      <w:r>
        <w:rPr>
          <w:rFonts w:ascii="Calibri" w:cs="Calibri" w:eastAsia="Calibri" w:hAnsi="Calibri"/>
          <w:color w:val="222222"/>
          <w:sz w:val="21"/>
          <w:szCs w:val="21"/>
        </w:rPr>
        <w:t xml:space="preserve">The recommended path forward is to operationalize these findings — translating validated statistical signals into automated monitoring, targeted growth strategies, and a more efficient collections approach — rather than commissioning further analysis before acting.</w:t>
      </w:r>
    </w:p>
    <w:p>
      <w:pPr>
        <w:spacing w:after="140" w:line="276"/>
      </w:pPr>
      <w:r>
        <w:rPr>
          <w:rFonts w:ascii="Calibri" w:cs="Calibri" w:eastAsia="Calibri" w:hAnsi="Calibri"/>
          <w:color w:val="222222"/>
          <w:sz w:val="21"/>
          <w:szCs w:val="21"/>
        </w:rPr>
        <w:t xml:space="preserve"/>
      </w:r>
    </w:p>
    <w:p>
      <w:pPr>
        <w:spacing w:after="140" w:line="276"/>
      </w:pPr>
      <w:r>
        <w:rPr>
          <w:rFonts w:ascii="Calibri" w:cs="Calibri" w:eastAsia="Calibri" w:hAnsi="Calibri"/>
          <w:i/>
          <w:iCs/>
          <w:color w:val="595959"/>
          <w:sz w:val="18"/>
          <w:szCs w:val="18"/>
        </w:rPr>
        <w:t xml:space="preserve">Prepared by Rounak Pyne | Business Analyst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Enterprise Credit Risk &amp; Portfolio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2026-07-25T17:40:59.473Z</dcterms:created>
  <dcterms:modified xsi:type="dcterms:W3CDTF">2026-07-25T17:40:59.488Z</dcterms:modified>
</cp:coreProperties>
</file>

<file path=docProps/custom.xml><?xml version="1.0" encoding="utf-8"?>
<Properties xmlns="http://schemas.openxmlformats.org/officeDocument/2006/custom-properties" xmlns:vt="http://schemas.openxmlformats.org/officeDocument/2006/docPropsVTypes"/>
</file>