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5213B" w14:textId="77777777" w:rsidR="0058667C" w:rsidRPr="0058667C" w:rsidRDefault="0058667C" w:rsidP="0058667C">
      <w:pPr>
        <w:spacing w:after="0"/>
        <w:ind w:firstLine="709"/>
        <w:jc w:val="center"/>
        <w:rPr>
          <w:b/>
          <w:bCs/>
          <w:lang w:val="en-US"/>
        </w:rPr>
      </w:pPr>
      <w:r w:rsidRPr="0058667C">
        <w:rPr>
          <w:b/>
          <w:bCs/>
          <w:lang w:val="en-US"/>
        </w:rPr>
        <w:t>Week 11 – Malaysia Travel, Routine Disruptions, and Emotional Support</w:t>
      </w:r>
    </w:p>
    <w:p w14:paraId="43F8CFD7" w14:textId="77777777" w:rsidR="0058667C" w:rsidRPr="0058667C" w:rsidRDefault="0058667C" w:rsidP="0058667C">
      <w:pPr>
        <w:numPr>
          <w:ilvl w:val="0"/>
          <w:numId w:val="1"/>
        </w:numPr>
        <w:spacing w:after="0"/>
        <w:jc w:val="both"/>
        <w:rPr>
          <w:lang w:val="en-US"/>
        </w:rPr>
      </w:pPr>
      <w:r w:rsidRPr="0058667C">
        <w:rPr>
          <w:b/>
          <w:bCs/>
          <w:lang w:val="en-US"/>
        </w:rPr>
        <w:t>Medical:</w:t>
      </w:r>
      <w:r w:rsidRPr="0058667C">
        <w:rPr>
          <w:lang w:val="en-US"/>
        </w:rPr>
        <w:br/>
        <w:t>Dr. Patel advised Aarav to carefully monitor swelling and ankle pain during travel. He emphasized the importance of avoiding overexertion, using rest and elevation when needed, and scheduled a detailed post-travel review. This guidance provided Aarav with confidence and structure to handle uncertainties abroad.</w:t>
      </w:r>
    </w:p>
    <w:p w14:paraId="3B4A4B3D" w14:textId="77777777" w:rsidR="0058667C" w:rsidRPr="0058667C" w:rsidRDefault="0058667C" w:rsidP="0058667C">
      <w:pPr>
        <w:numPr>
          <w:ilvl w:val="0"/>
          <w:numId w:val="1"/>
        </w:numPr>
        <w:spacing w:after="0"/>
        <w:jc w:val="both"/>
        <w:rPr>
          <w:lang w:val="en-US"/>
        </w:rPr>
      </w:pPr>
      <w:r w:rsidRPr="0058667C">
        <w:rPr>
          <w:b/>
          <w:bCs/>
          <w:lang w:val="en-US"/>
        </w:rPr>
        <w:t>Nutrition:</w:t>
      </w:r>
      <w:r w:rsidRPr="0058667C">
        <w:rPr>
          <w:lang w:val="en-US"/>
        </w:rPr>
        <w:br/>
        <w:t>Carla shared practical strategies for hotel stays, including simple meal combinations, portable snack ideas, and hydration reminders tailored to the humid Malaysian climate. Aarav actively tried her suggestions, updated her with feedback, and expressed that the flexible, easy recipes reduced his stress about food choices.</w:t>
      </w:r>
    </w:p>
    <w:p w14:paraId="2C353EB9" w14:textId="77777777" w:rsidR="0058667C" w:rsidRPr="0058667C" w:rsidRDefault="0058667C" w:rsidP="0058667C">
      <w:pPr>
        <w:numPr>
          <w:ilvl w:val="0"/>
          <w:numId w:val="1"/>
        </w:numPr>
        <w:spacing w:after="0"/>
        <w:jc w:val="both"/>
        <w:rPr>
          <w:lang w:val="en-US"/>
        </w:rPr>
      </w:pPr>
      <w:r w:rsidRPr="0058667C">
        <w:rPr>
          <w:b/>
          <w:bCs/>
          <w:lang w:val="en-US"/>
        </w:rPr>
        <w:t>Physiotherapy:</w:t>
      </w:r>
      <w:r w:rsidRPr="0058667C">
        <w:rPr>
          <w:lang w:val="en-US"/>
        </w:rPr>
        <w:br/>
        <w:t>Rachel designed hotel-friendly routines, recording short videos of stretching, mobility, and light strengthening exercises that required minimal space or equipment. Aarav completed these sessions despite shorter durations and reported that the guidance helped him maintain consistency.</w:t>
      </w:r>
    </w:p>
    <w:p w14:paraId="11B417B3" w14:textId="77777777" w:rsidR="0058667C" w:rsidRPr="0058667C" w:rsidRDefault="0058667C" w:rsidP="0058667C">
      <w:pPr>
        <w:numPr>
          <w:ilvl w:val="0"/>
          <w:numId w:val="1"/>
        </w:numPr>
        <w:spacing w:after="0"/>
        <w:jc w:val="both"/>
        <w:rPr>
          <w:lang w:val="en-US"/>
        </w:rPr>
      </w:pPr>
      <w:r w:rsidRPr="0058667C">
        <w:rPr>
          <w:b/>
          <w:bCs/>
          <w:lang w:val="en-US"/>
        </w:rPr>
        <w:t>Mental Health:</w:t>
      </w:r>
      <w:r w:rsidRPr="0058667C">
        <w:rPr>
          <w:lang w:val="en-US"/>
        </w:rPr>
        <w:br/>
        <w:t>Travel fatigue and disruptions triggered moments of isolation and anxiety. Dr. Isha encouraged mindfulness practices like deep breathing and journaling, while Rohan and Neel reassured Aarav by sharing experiences of athletes facing similar challenges.</w:t>
      </w:r>
    </w:p>
    <w:p w14:paraId="44FDF55C" w14:textId="77777777" w:rsidR="0058667C" w:rsidRPr="0058667C" w:rsidRDefault="0058667C" w:rsidP="0058667C">
      <w:pPr>
        <w:numPr>
          <w:ilvl w:val="0"/>
          <w:numId w:val="1"/>
        </w:numPr>
        <w:spacing w:after="0"/>
        <w:jc w:val="both"/>
        <w:rPr>
          <w:lang w:val="en-US"/>
        </w:rPr>
      </w:pPr>
      <w:r w:rsidRPr="0058667C">
        <w:rPr>
          <w:b/>
          <w:bCs/>
          <w:lang w:val="en-US"/>
        </w:rPr>
        <w:t>Engagement:</w:t>
      </w:r>
      <w:r w:rsidRPr="0058667C">
        <w:rPr>
          <w:lang w:val="en-US"/>
        </w:rPr>
        <w:br/>
        <w:t>Although less energetic, Aarav remained communicative, sharing updates and photos from his journey. He expressed gratitude for team support, showing resilience under pressure.</w:t>
      </w:r>
    </w:p>
    <w:p w14:paraId="5DBAA143" w14:textId="77777777" w:rsidR="0058667C" w:rsidRPr="0058667C" w:rsidRDefault="0058667C" w:rsidP="0058667C">
      <w:pPr>
        <w:numPr>
          <w:ilvl w:val="0"/>
          <w:numId w:val="1"/>
        </w:numPr>
        <w:spacing w:after="0"/>
        <w:jc w:val="both"/>
        <w:rPr>
          <w:lang w:val="en-US"/>
        </w:rPr>
      </w:pPr>
      <w:r w:rsidRPr="0058667C">
        <w:rPr>
          <w:b/>
          <w:bCs/>
          <w:lang w:val="en-US"/>
        </w:rPr>
        <w:t>Overall:</w:t>
      </w:r>
      <w:r w:rsidRPr="0058667C">
        <w:rPr>
          <w:lang w:val="en-US"/>
        </w:rPr>
        <w:br/>
        <w:t>Week 11 highlighted Aarav’s adaptability and determination. Despite routine disruptions, he preserved his core habits, demonstrating resilience and the value of team guidance in sustaining wellness during transitions.</w:t>
      </w:r>
    </w:p>
    <w:p w14:paraId="68EE6A3D" w14:textId="77777777" w:rsidR="00F12C76" w:rsidRDefault="00F12C76" w:rsidP="006C0B77">
      <w:pPr>
        <w:spacing w:after="0"/>
        <w:ind w:firstLine="709"/>
        <w:jc w:val="both"/>
        <w:rPr>
          <w:lang w:val="en-US"/>
        </w:rPr>
      </w:pPr>
    </w:p>
    <w:p w14:paraId="723C08C8" w14:textId="77777777" w:rsidR="0058667C" w:rsidRPr="0058667C" w:rsidRDefault="0058667C" w:rsidP="0058667C">
      <w:pPr>
        <w:spacing w:after="0"/>
        <w:ind w:firstLine="709"/>
        <w:jc w:val="both"/>
        <w:rPr>
          <w:b/>
          <w:bCs/>
          <w:lang w:val="en-US"/>
        </w:rPr>
      </w:pPr>
      <w:r w:rsidRPr="0058667C">
        <w:rPr>
          <w:b/>
          <w:bCs/>
          <w:lang w:val="en-US"/>
        </w:rPr>
        <w:t>Week 11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gridCol w:w="1835"/>
        <w:gridCol w:w="1855"/>
        <w:gridCol w:w="3457"/>
      </w:tblGrid>
      <w:tr w:rsidR="0058667C" w:rsidRPr="0058667C" w14:paraId="325AC9B7" w14:textId="77777777">
        <w:trPr>
          <w:tblHeader/>
          <w:tblCellSpacing w:w="15" w:type="dxa"/>
        </w:trPr>
        <w:tc>
          <w:tcPr>
            <w:tcW w:w="0" w:type="auto"/>
            <w:vAlign w:val="center"/>
            <w:hideMark/>
          </w:tcPr>
          <w:p w14:paraId="0429CB95" w14:textId="77777777" w:rsidR="0058667C" w:rsidRPr="0058667C" w:rsidRDefault="0058667C" w:rsidP="0058667C">
            <w:pPr>
              <w:spacing w:after="0"/>
              <w:ind w:firstLine="709"/>
              <w:jc w:val="both"/>
              <w:rPr>
                <w:b/>
                <w:bCs/>
                <w:lang w:val="en-US"/>
              </w:rPr>
            </w:pPr>
            <w:r w:rsidRPr="0058667C">
              <w:rPr>
                <w:b/>
                <w:bCs/>
                <w:lang w:val="en-US"/>
              </w:rPr>
              <w:t>Test / Measure</w:t>
            </w:r>
          </w:p>
        </w:tc>
        <w:tc>
          <w:tcPr>
            <w:tcW w:w="0" w:type="auto"/>
            <w:vAlign w:val="center"/>
            <w:hideMark/>
          </w:tcPr>
          <w:p w14:paraId="5273CE65" w14:textId="77777777" w:rsidR="0058667C" w:rsidRPr="0058667C" w:rsidRDefault="0058667C" w:rsidP="0058667C">
            <w:pPr>
              <w:spacing w:after="0"/>
              <w:ind w:firstLine="709"/>
              <w:jc w:val="both"/>
              <w:rPr>
                <w:b/>
                <w:bCs/>
                <w:lang w:val="en-US"/>
              </w:rPr>
            </w:pPr>
            <w:r w:rsidRPr="0058667C">
              <w:rPr>
                <w:b/>
                <w:bCs/>
                <w:lang w:val="en-US"/>
              </w:rPr>
              <w:t>Value</w:t>
            </w:r>
          </w:p>
        </w:tc>
        <w:tc>
          <w:tcPr>
            <w:tcW w:w="0" w:type="auto"/>
            <w:vAlign w:val="center"/>
            <w:hideMark/>
          </w:tcPr>
          <w:p w14:paraId="3FC1EC88" w14:textId="77777777" w:rsidR="0058667C" w:rsidRPr="0058667C" w:rsidRDefault="0058667C" w:rsidP="0058667C">
            <w:pPr>
              <w:spacing w:after="0"/>
              <w:ind w:firstLine="709"/>
              <w:jc w:val="both"/>
              <w:rPr>
                <w:b/>
                <w:bCs/>
                <w:lang w:val="en-US"/>
              </w:rPr>
            </w:pPr>
            <w:r w:rsidRPr="0058667C">
              <w:rPr>
                <w:b/>
                <w:bCs/>
                <w:lang w:val="en-US"/>
              </w:rPr>
              <w:t>Normal Range</w:t>
            </w:r>
          </w:p>
        </w:tc>
        <w:tc>
          <w:tcPr>
            <w:tcW w:w="0" w:type="auto"/>
            <w:vAlign w:val="center"/>
            <w:hideMark/>
          </w:tcPr>
          <w:p w14:paraId="0D9BF035" w14:textId="77777777" w:rsidR="0058667C" w:rsidRPr="0058667C" w:rsidRDefault="0058667C" w:rsidP="0058667C">
            <w:pPr>
              <w:spacing w:after="0"/>
              <w:ind w:firstLine="709"/>
              <w:jc w:val="both"/>
              <w:rPr>
                <w:b/>
                <w:bCs/>
                <w:lang w:val="en-US"/>
              </w:rPr>
            </w:pPr>
            <w:r w:rsidRPr="0058667C">
              <w:rPr>
                <w:b/>
                <w:bCs/>
                <w:lang w:val="en-US"/>
              </w:rPr>
              <w:t>Comments</w:t>
            </w:r>
          </w:p>
        </w:tc>
      </w:tr>
      <w:tr w:rsidR="0058667C" w:rsidRPr="0058667C" w14:paraId="2F10AED3" w14:textId="77777777">
        <w:trPr>
          <w:tblCellSpacing w:w="15" w:type="dxa"/>
        </w:trPr>
        <w:tc>
          <w:tcPr>
            <w:tcW w:w="0" w:type="auto"/>
            <w:vAlign w:val="center"/>
            <w:hideMark/>
          </w:tcPr>
          <w:p w14:paraId="5FF94E9D" w14:textId="77777777" w:rsidR="0058667C" w:rsidRPr="0058667C" w:rsidRDefault="0058667C" w:rsidP="0058667C">
            <w:pPr>
              <w:spacing w:after="0"/>
              <w:ind w:firstLine="709"/>
              <w:jc w:val="both"/>
              <w:rPr>
                <w:lang w:val="en-US"/>
              </w:rPr>
            </w:pPr>
            <w:r w:rsidRPr="0058667C">
              <w:rPr>
                <w:lang w:val="en-US"/>
              </w:rPr>
              <w:t>Ferritin</w:t>
            </w:r>
          </w:p>
        </w:tc>
        <w:tc>
          <w:tcPr>
            <w:tcW w:w="0" w:type="auto"/>
            <w:vAlign w:val="center"/>
            <w:hideMark/>
          </w:tcPr>
          <w:p w14:paraId="7A49D4C4" w14:textId="77777777" w:rsidR="0058667C" w:rsidRPr="0058667C" w:rsidRDefault="0058667C" w:rsidP="0058667C">
            <w:pPr>
              <w:spacing w:after="0"/>
              <w:ind w:firstLine="709"/>
              <w:jc w:val="both"/>
              <w:rPr>
                <w:lang w:val="en-US"/>
              </w:rPr>
            </w:pPr>
            <w:r w:rsidRPr="0058667C">
              <w:rPr>
                <w:lang w:val="en-US"/>
              </w:rPr>
              <w:t>51 ng/mL</w:t>
            </w:r>
          </w:p>
        </w:tc>
        <w:tc>
          <w:tcPr>
            <w:tcW w:w="0" w:type="auto"/>
            <w:vAlign w:val="center"/>
            <w:hideMark/>
          </w:tcPr>
          <w:p w14:paraId="7D746D71" w14:textId="77777777" w:rsidR="0058667C" w:rsidRPr="0058667C" w:rsidRDefault="0058667C" w:rsidP="0058667C">
            <w:pPr>
              <w:spacing w:after="0"/>
              <w:ind w:firstLine="709"/>
              <w:jc w:val="both"/>
              <w:rPr>
                <w:lang w:val="en-US"/>
              </w:rPr>
            </w:pPr>
            <w:r w:rsidRPr="0058667C">
              <w:rPr>
                <w:lang w:val="en-US"/>
              </w:rPr>
              <w:t>30–400 ng/mL</w:t>
            </w:r>
          </w:p>
        </w:tc>
        <w:tc>
          <w:tcPr>
            <w:tcW w:w="0" w:type="auto"/>
            <w:vAlign w:val="center"/>
            <w:hideMark/>
          </w:tcPr>
          <w:p w14:paraId="76978D32" w14:textId="77777777" w:rsidR="0058667C" w:rsidRPr="0058667C" w:rsidRDefault="0058667C" w:rsidP="0058667C">
            <w:pPr>
              <w:spacing w:after="0"/>
              <w:ind w:firstLine="709"/>
              <w:jc w:val="both"/>
              <w:rPr>
                <w:lang w:val="en-US"/>
              </w:rPr>
            </w:pPr>
            <w:r w:rsidRPr="0058667C">
              <w:rPr>
                <w:lang w:val="en-US"/>
              </w:rPr>
              <w:t>Stable; no decline despite reduced training load.</w:t>
            </w:r>
          </w:p>
        </w:tc>
      </w:tr>
      <w:tr w:rsidR="0058667C" w:rsidRPr="0058667C" w14:paraId="7F79CB0F" w14:textId="77777777">
        <w:trPr>
          <w:tblCellSpacing w:w="15" w:type="dxa"/>
        </w:trPr>
        <w:tc>
          <w:tcPr>
            <w:tcW w:w="0" w:type="auto"/>
            <w:vAlign w:val="center"/>
            <w:hideMark/>
          </w:tcPr>
          <w:p w14:paraId="2E0FB1A4" w14:textId="77777777" w:rsidR="0058667C" w:rsidRPr="0058667C" w:rsidRDefault="0058667C" w:rsidP="0058667C">
            <w:pPr>
              <w:spacing w:after="0"/>
              <w:ind w:firstLine="709"/>
              <w:jc w:val="both"/>
              <w:rPr>
                <w:lang w:val="en-US"/>
              </w:rPr>
            </w:pPr>
            <w:r w:rsidRPr="0058667C">
              <w:rPr>
                <w:lang w:val="en-US"/>
              </w:rPr>
              <w:t>Vitamin D (25-OH)</w:t>
            </w:r>
          </w:p>
        </w:tc>
        <w:tc>
          <w:tcPr>
            <w:tcW w:w="0" w:type="auto"/>
            <w:vAlign w:val="center"/>
            <w:hideMark/>
          </w:tcPr>
          <w:p w14:paraId="2B1EA404" w14:textId="77777777" w:rsidR="0058667C" w:rsidRPr="0058667C" w:rsidRDefault="0058667C" w:rsidP="0058667C">
            <w:pPr>
              <w:spacing w:after="0"/>
              <w:ind w:firstLine="709"/>
              <w:jc w:val="both"/>
              <w:rPr>
                <w:lang w:val="en-US"/>
              </w:rPr>
            </w:pPr>
            <w:r w:rsidRPr="0058667C">
              <w:rPr>
                <w:lang w:val="en-US"/>
              </w:rPr>
              <w:t>32 ng/mL</w:t>
            </w:r>
          </w:p>
        </w:tc>
        <w:tc>
          <w:tcPr>
            <w:tcW w:w="0" w:type="auto"/>
            <w:vAlign w:val="center"/>
            <w:hideMark/>
          </w:tcPr>
          <w:p w14:paraId="5186F336" w14:textId="77777777" w:rsidR="0058667C" w:rsidRPr="0058667C" w:rsidRDefault="0058667C" w:rsidP="0058667C">
            <w:pPr>
              <w:spacing w:after="0"/>
              <w:ind w:firstLine="709"/>
              <w:jc w:val="both"/>
              <w:rPr>
                <w:lang w:val="en-US"/>
              </w:rPr>
            </w:pPr>
            <w:r w:rsidRPr="0058667C">
              <w:rPr>
                <w:lang w:val="en-US"/>
              </w:rPr>
              <w:t>&gt;30 ng/mL</w:t>
            </w:r>
          </w:p>
        </w:tc>
        <w:tc>
          <w:tcPr>
            <w:tcW w:w="0" w:type="auto"/>
            <w:vAlign w:val="center"/>
            <w:hideMark/>
          </w:tcPr>
          <w:p w14:paraId="412D3C94" w14:textId="77777777" w:rsidR="0058667C" w:rsidRPr="0058667C" w:rsidRDefault="0058667C" w:rsidP="0058667C">
            <w:pPr>
              <w:spacing w:after="0"/>
              <w:ind w:firstLine="709"/>
              <w:jc w:val="both"/>
              <w:rPr>
                <w:lang w:val="en-US"/>
              </w:rPr>
            </w:pPr>
            <w:r w:rsidRPr="0058667C">
              <w:rPr>
                <w:lang w:val="en-US"/>
              </w:rPr>
              <w:t>Maintained with supplements, no drop during travel.</w:t>
            </w:r>
          </w:p>
        </w:tc>
      </w:tr>
      <w:tr w:rsidR="0058667C" w:rsidRPr="0058667C" w14:paraId="37A14E0F" w14:textId="77777777">
        <w:trPr>
          <w:tblCellSpacing w:w="15" w:type="dxa"/>
        </w:trPr>
        <w:tc>
          <w:tcPr>
            <w:tcW w:w="0" w:type="auto"/>
            <w:vAlign w:val="center"/>
            <w:hideMark/>
          </w:tcPr>
          <w:p w14:paraId="7E7001B8" w14:textId="77777777" w:rsidR="0058667C" w:rsidRPr="0058667C" w:rsidRDefault="0058667C" w:rsidP="0058667C">
            <w:pPr>
              <w:spacing w:after="0"/>
              <w:ind w:firstLine="709"/>
              <w:jc w:val="both"/>
              <w:rPr>
                <w:lang w:val="en-US"/>
              </w:rPr>
            </w:pPr>
            <w:r w:rsidRPr="0058667C">
              <w:rPr>
                <w:lang w:val="en-US"/>
              </w:rPr>
              <w:t>Fasting Glucose</w:t>
            </w:r>
          </w:p>
        </w:tc>
        <w:tc>
          <w:tcPr>
            <w:tcW w:w="0" w:type="auto"/>
            <w:vAlign w:val="center"/>
            <w:hideMark/>
          </w:tcPr>
          <w:p w14:paraId="29FEF90A" w14:textId="77777777" w:rsidR="0058667C" w:rsidRPr="0058667C" w:rsidRDefault="0058667C" w:rsidP="0058667C">
            <w:pPr>
              <w:spacing w:after="0"/>
              <w:ind w:firstLine="709"/>
              <w:jc w:val="both"/>
              <w:rPr>
                <w:lang w:val="en-US"/>
              </w:rPr>
            </w:pPr>
            <w:r w:rsidRPr="0058667C">
              <w:rPr>
                <w:lang w:val="en-US"/>
              </w:rPr>
              <w:t>98 mg/dL</w:t>
            </w:r>
          </w:p>
        </w:tc>
        <w:tc>
          <w:tcPr>
            <w:tcW w:w="0" w:type="auto"/>
            <w:vAlign w:val="center"/>
            <w:hideMark/>
          </w:tcPr>
          <w:p w14:paraId="35A4BE97" w14:textId="77777777" w:rsidR="0058667C" w:rsidRPr="0058667C" w:rsidRDefault="0058667C" w:rsidP="0058667C">
            <w:pPr>
              <w:spacing w:after="0"/>
              <w:ind w:firstLine="709"/>
              <w:jc w:val="both"/>
              <w:rPr>
                <w:lang w:val="en-US"/>
              </w:rPr>
            </w:pPr>
            <w:r w:rsidRPr="0058667C">
              <w:rPr>
                <w:lang w:val="en-US"/>
              </w:rPr>
              <w:t>70–99 mg/dL</w:t>
            </w:r>
          </w:p>
        </w:tc>
        <w:tc>
          <w:tcPr>
            <w:tcW w:w="0" w:type="auto"/>
            <w:vAlign w:val="center"/>
            <w:hideMark/>
          </w:tcPr>
          <w:p w14:paraId="0C30650D" w14:textId="77777777" w:rsidR="0058667C" w:rsidRPr="0058667C" w:rsidRDefault="0058667C" w:rsidP="0058667C">
            <w:pPr>
              <w:spacing w:after="0"/>
              <w:ind w:firstLine="709"/>
              <w:jc w:val="both"/>
              <w:rPr>
                <w:lang w:val="en-US"/>
              </w:rPr>
            </w:pPr>
            <w:r w:rsidRPr="0058667C">
              <w:rPr>
                <w:lang w:val="en-US"/>
              </w:rPr>
              <w:t>Slightly elevated from travel stress/meal shifts, still normal.</w:t>
            </w:r>
          </w:p>
        </w:tc>
      </w:tr>
      <w:tr w:rsidR="0058667C" w:rsidRPr="0058667C" w14:paraId="10B140A3" w14:textId="77777777">
        <w:trPr>
          <w:tblCellSpacing w:w="15" w:type="dxa"/>
        </w:trPr>
        <w:tc>
          <w:tcPr>
            <w:tcW w:w="0" w:type="auto"/>
            <w:vAlign w:val="center"/>
            <w:hideMark/>
          </w:tcPr>
          <w:p w14:paraId="423C60FA" w14:textId="77777777" w:rsidR="0058667C" w:rsidRPr="0058667C" w:rsidRDefault="0058667C" w:rsidP="0058667C">
            <w:pPr>
              <w:spacing w:after="0"/>
              <w:ind w:firstLine="709"/>
              <w:jc w:val="both"/>
              <w:rPr>
                <w:lang w:val="en-US"/>
              </w:rPr>
            </w:pPr>
            <w:r w:rsidRPr="0058667C">
              <w:rPr>
                <w:lang w:val="en-US"/>
              </w:rPr>
              <w:lastRenderedPageBreak/>
              <w:t>HbA1c (Quarterly check)</w:t>
            </w:r>
          </w:p>
        </w:tc>
        <w:tc>
          <w:tcPr>
            <w:tcW w:w="0" w:type="auto"/>
            <w:vAlign w:val="center"/>
            <w:hideMark/>
          </w:tcPr>
          <w:p w14:paraId="21613442" w14:textId="77777777" w:rsidR="0058667C" w:rsidRPr="0058667C" w:rsidRDefault="0058667C" w:rsidP="0058667C">
            <w:pPr>
              <w:spacing w:after="0"/>
              <w:ind w:firstLine="709"/>
              <w:jc w:val="both"/>
              <w:rPr>
                <w:lang w:val="en-US"/>
              </w:rPr>
            </w:pPr>
            <w:r w:rsidRPr="0058667C">
              <w:rPr>
                <w:lang w:val="en-US"/>
              </w:rPr>
              <w:t>—</w:t>
            </w:r>
          </w:p>
        </w:tc>
        <w:tc>
          <w:tcPr>
            <w:tcW w:w="0" w:type="auto"/>
            <w:vAlign w:val="center"/>
            <w:hideMark/>
          </w:tcPr>
          <w:p w14:paraId="291E8EDC" w14:textId="77777777" w:rsidR="0058667C" w:rsidRPr="0058667C" w:rsidRDefault="0058667C" w:rsidP="0058667C">
            <w:pPr>
              <w:spacing w:after="0"/>
              <w:ind w:firstLine="709"/>
              <w:jc w:val="both"/>
              <w:rPr>
                <w:lang w:val="en-US"/>
              </w:rPr>
            </w:pPr>
            <w:r w:rsidRPr="0058667C">
              <w:rPr>
                <w:lang w:val="en-US"/>
              </w:rPr>
              <w:t>&lt;5.7%</w:t>
            </w:r>
          </w:p>
        </w:tc>
        <w:tc>
          <w:tcPr>
            <w:tcW w:w="0" w:type="auto"/>
            <w:vAlign w:val="center"/>
            <w:hideMark/>
          </w:tcPr>
          <w:p w14:paraId="145B6152" w14:textId="77777777" w:rsidR="0058667C" w:rsidRPr="0058667C" w:rsidRDefault="0058667C" w:rsidP="0058667C">
            <w:pPr>
              <w:spacing w:after="0"/>
              <w:ind w:firstLine="709"/>
              <w:jc w:val="both"/>
              <w:rPr>
                <w:lang w:val="en-US"/>
              </w:rPr>
            </w:pPr>
            <w:r w:rsidRPr="0058667C">
              <w:rPr>
                <w:lang w:val="en-US"/>
              </w:rPr>
              <w:t>Not due this week.</w:t>
            </w:r>
          </w:p>
        </w:tc>
      </w:tr>
      <w:tr w:rsidR="0058667C" w:rsidRPr="0058667C" w14:paraId="3CF1E0F0" w14:textId="77777777">
        <w:trPr>
          <w:tblCellSpacing w:w="15" w:type="dxa"/>
        </w:trPr>
        <w:tc>
          <w:tcPr>
            <w:tcW w:w="0" w:type="auto"/>
            <w:vAlign w:val="center"/>
            <w:hideMark/>
          </w:tcPr>
          <w:p w14:paraId="7B096961" w14:textId="77777777" w:rsidR="0058667C" w:rsidRPr="0058667C" w:rsidRDefault="0058667C" w:rsidP="0058667C">
            <w:pPr>
              <w:spacing w:after="0"/>
              <w:ind w:firstLine="709"/>
              <w:jc w:val="both"/>
              <w:rPr>
                <w:lang w:val="en-US"/>
              </w:rPr>
            </w:pPr>
            <w:r w:rsidRPr="0058667C">
              <w:rPr>
                <w:lang w:val="en-US"/>
              </w:rPr>
              <w:t>Ankle Mobility Score*</w:t>
            </w:r>
          </w:p>
        </w:tc>
        <w:tc>
          <w:tcPr>
            <w:tcW w:w="0" w:type="auto"/>
            <w:vAlign w:val="center"/>
            <w:hideMark/>
          </w:tcPr>
          <w:p w14:paraId="331CA8F9" w14:textId="77777777" w:rsidR="0058667C" w:rsidRPr="0058667C" w:rsidRDefault="0058667C" w:rsidP="0058667C">
            <w:pPr>
              <w:spacing w:after="0"/>
              <w:ind w:firstLine="709"/>
              <w:jc w:val="both"/>
              <w:rPr>
                <w:lang w:val="en-US"/>
              </w:rPr>
            </w:pPr>
            <w:r w:rsidRPr="0058667C">
              <w:rPr>
                <w:lang w:val="en-US"/>
              </w:rPr>
              <w:t>6/10</w:t>
            </w:r>
          </w:p>
        </w:tc>
        <w:tc>
          <w:tcPr>
            <w:tcW w:w="0" w:type="auto"/>
            <w:vAlign w:val="center"/>
            <w:hideMark/>
          </w:tcPr>
          <w:p w14:paraId="6D8B2050" w14:textId="77777777" w:rsidR="0058667C" w:rsidRPr="0058667C" w:rsidRDefault="0058667C" w:rsidP="0058667C">
            <w:pPr>
              <w:spacing w:after="0"/>
              <w:ind w:firstLine="709"/>
              <w:jc w:val="both"/>
              <w:rPr>
                <w:lang w:val="en-US"/>
              </w:rPr>
            </w:pPr>
            <w:r w:rsidRPr="0058667C">
              <w:rPr>
                <w:lang w:val="en-US"/>
              </w:rPr>
              <w:t>8–10 (optimal)</w:t>
            </w:r>
          </w:p>
        </w:tc>
        <w:tc>
          <w:tcPr>
            <w:tcW w:w="0" w:type="auto"/>
            <w:vAlign w:val="center"/>
            <w:hideMark/>
          </w:tcPr>
          <w:p w14:paraId="0D637E53" w14:textId="77777777" w:rsidR="0058667C" w:rsidRPr="0058667C" w:rsidRDefault="0058667C" w:rsidP="0058667C">
            <w:pPr>
              <w:spacing w:after="0"/>
              <w:ind w:firstLine="709"/>
              <w:jc w:val="both"/>
              <w:rPr>
                <w:lang w:val="en-US"/>
              </w:rPr>
            </w:pPr>
            <w:r w:rsidRPr="0058667C">
              <w:rPr>
                <w:lang w:val="en-US"/>
              </w:rPr>
              <w:t>Plateau continued; stiffness persisted during hotel stay.</w:t>
            </w:r>
          </w:p>
        </w:tc>
      </w:tr>
      <w:tr w:rsidR="0058667C" w:rsidRPr="0058667C" w14:paraId="4EFB29E8" w14:textId="77777777">
        <w:trPr>
          <w:tblCellSpacing w:w="15" w:type="dxa"/>
        </w:trPr>
        <w:tc>
          <w:tcPr>
            <w:tcW w:w="0" w:type="auto"/>
            <w:vAlign w:val="center"/>
            <w:hideMark/>
          </w:tcPr>
          <w:p w14:paraId="264F262A" w14:textId="77777777" w:rsidR="0058667C" w:rsidRPr="0058667C" w:rsidRDefault="0058667C" w:rsidP="0058667C">
            <w:pPr>
              <w:spacing w:after="0"/>
              <w:ind w:firstLine="709"/>
              <w:jc w:val="both"/>
              <w:rPr>
                <w:lang w:val="en-US"/>
              </w:rPr>
            </w:pPr>
            <w:r w:rsidRPr="0058667C">
              <w:rPr>
                <w:lang w:val="en-US"/>
              </w:rPr>
              <w:t>Resting Pulse Rate</w:t>
            </w:r>
          </w:p>
        </w:tc>
        <w:tc>
          <w:tcPr>
            <w:tcW w:w="0" w:type="auto"/>
            <w:vAlign w:val="center"/>
            <w:hideMark/>
          </w:tcPr>
          <w:p w14:paraId="4577DDF8" w14:textId="77777777" w:rsidR="0058667C" w:rsidRPr="0058667C" w:rsidRDefault="0058667C" w:rsidP="0058667C">
            <w:pPr>
              <w:spacing w:after="0"/>
              <w:ind w:firstLine="709"/>
              <w:jc w:val="both"/>
              <w:rPr>
                <w:lang w:val="en-US"/>
              </w:rPr>
            </w:pPr>
            <w:r w:rsidRPr="0058667C">
              <w:rPr>
                <w:lang w:val="en-US"/>
              </w:rPr>
              <w:t>70 bpm</w:t>
            </w:r>
          </w:p>
        </w:tc>
        <w:tc>
          <w:tcPr>
            <w:tcW w:w="0" w:type="auto"/>
            <w:vAlign w:val="center"/>
            <w:hideMark/>
          </w:tcPr>
          <w:p w14:paraId="228B3C3A" w14:textId="77777777" w:rsidR="0058667C" w:rsidRPr="0058667C" w:rsidRDefault="0058667C" w:rsidP="0058667C">
            <w:pPr>
              <w:spacing w:after="0"/>
              <w:ind w:firstLine="709"/>
              <w:jc w:val="both"/>
              <w:rPr>
                <w:lang w:val="en-US"/>
              </w:rPr>
            </w:pPr>
            <w:r w:rsidRPr="0058667C">
              <w:rPr>
                <w:lang w:val="en-US"/>
              </w:rPr>
              <w:t>50–70 bpm</w:t>
            </w:r>
          </w:p>
        </w:tc>
        <w:tc>
          <w:tcPr>
            <w:tcW w:w="0" w:type="auto"/>
            <w:vAlign w:val="center"/>
            <w:hideMark/>
          </w:tcPr>
          <w:p w14:paraId="52923B56" w14:textId="77777777" w:rsidR="0058667C" w:rsidRPr="0058667C" w:rsidRDefault="0058667C" w:rsidP="0058667C">
            <w:pPr>
              <w:spacing w:after="0"/>
              <w:ind w:firstLine="709"/>
              <w:jc w:val="both"/>
              <w:rPr>
                <w:lang w:val="en-US"/>
              </w:rPr>
            </w:pPr>
            <w:r w:rsidRPr="0058667C">
              <w:rPr>
                <w:lang w:val="en-US"/>
              </w:rPr>
              <w:t>Mild increase from fatigue and travel-related stress.</w:t>
            </w:r>
          </w:p>
        </w:tc>
      </w:tr>
      <w:tr w:rsidR="0058667C" w:rsidRPr="0058667C" w14:paraId="07F39C2A" w14:textId="77777777">
        <w:trPr>
          <w:tblCellSpacing w:w="15" w:type="dxa"/>
        </w:trPr>
        <w:tc>
          <w:tcPr>
            <w:tcW w:w="0" w:type="auto"/>
            <w:vAlign w:val="center"/>
            <w:hideMark/>
          </w:tcPr>
          <w:p w14:paraId="1483970E" w14:textId="77777777" w:rsidR="0058667C" w:rsidRPr="0058667C" w:rsidRDefault="0058667C" w:rsidP="0058667C">
            <w:pPr>
              <w:spacing w:after="0"/>
              <w:ind w:firstLine="709"/>
              <w:jc w:val="both"/>
              <w:rPr>
                <w:lang w:val="en-US"/>
              </w:rPr>
            </w:pPr>
            <w:r w:rsidRPr="0058667C">
              <w:rPr>
                <w:lang w:val="en-US"/>
              </w:rPr>
              <w:t>PHQ-9 (Depression)</w:t>
            </w:r>
          </w:p>
        </w:tc>
        <w:tc>
          <w:tcPr>
            <w:tcW w:w="0" w:type="auto"/>
            <w:vAlign w:val="center"/>
            <w:hideMark/>
          </w:tcPr>
          <w:p w14:paraId="1746AB89" w14:textId="77777777" w:rsidR="0058667C" w:rsidRPr="0058667C" w:rsidRDefault="0058667C" w:rsidP="0058667C">
            <w:pPr>
              <w:spacing w:after="0"/>
              <w:ind w:firstLine="709"/>
              <w:jc w:val="both"/>
              <w:rPr>
                <w:lang w:val="en-US"/>
              </w:rPr>
            </w:pPr>
            <w:r w:rsidRPr="0058667C">
              <w:rPr>
                <w:lang w:val="en-US"/>
              </w:rPr>
              <w:t>4</w:t>
            </w:r>
          </w:p>
        </w:tc>
        <w:tc>
          <w:tcPr>
            <w:tcW w:w="0" w:type="auto"/>
            <w:vAlign w:val="center"/>
            <w:hideMark/>
          </w:tcPr>
          <w:p w14:paraId="0D2F6A22" w14:textId="77777777" w:rsidR="0058667C" w:rsidRPr="0058667C" w:rsidRDefault="0058667C" w:rsidP="0058667C">
            <w:pPr>
              <w:spacing w:after="0"/>
              <w:ind w:firstLine="709"/>
              <w:jc w:val="both"/>
              <w:rPr>
                <w:lang w:val="en-US"/>
              </w:rPr>
            </w:pPr>
            <w:r w:rsidRPr="0058667C">
              <w:rPr>
                <w:lang w:val="en-US"/>
              </w:rPr>
              <w:t>0–4 minimal</w:t>
            </w:r>
          </w:p>
        </w:tc>
        <w:tc>
          <w:tcPr>
            <w:tcW w:w="0" w:type="auto"/>
            <w:vAlign w:val="center"/>
            <w:hideMark/>
          </w:tcPr>
          <w:p w14:paraId="6F075924" w14:textId="77777777" w:rsidR="0058667C" w:rsidRPr="0058667C" w:rsidRDefault="0058667C" w:rsidP="0058667C">
            <w:pPr>
              <w:spacing w:after="0"/>
              <w:ind w:firstLine="709"/>
              <w:jc w:val="both"/>
              <w:rPr>
                <w:lang w:val="en-US"/>
              </w:rPr>
            </w:pPr>
            <w:r w:rsidRPr="0058667C">
              <w:rPr>
                <w:lang w:val="en-US"/>
              </w:rPr>
              <w:t>Borderline minimal–mild; linked to isolation and anxiety in travel week.</w:t>
            </w:r>
          </w:p>
        </w:tc>
      </w:tr>
      <w:tr w:rsidR="0058667C" w:rsidRPr="0058667C" w14:paraId="71C810A3" w14:textId="77777777">
        <w:trPr>
          <w:tblCellSpacing w:w="15" w:type="dxa"/>
        </w:trPr>
        <w:tc>
          <w:tcPr>
            <w:tcW w:w="0" w:type="auto"/>
            <w:vAlign w:val="center"/>
            <w:hideMark/>
          </w:tcPr>
          <w:p w14:paraId="27BAA1E5" w14:textId="77777777" w:rsidR="0058667C" w:rsidRPr="0058667C" w:rsidRDefault="0058667C" w:rsidP="0058667C">
            <w:pPr>
              <w:spacing w:after="0"/>
              <w:ind w:firstLine="709"/>
              <w:jc w:val="both"/>
              <w:rPr>
                <w:lang w:val="en-US"/>
              </w:rPr>
            </w:pPr>
            <w:r w:rsidRPr="0058667C">
              <w:rPr>
                <w:lang w:val="en-US"/>
              </w:rPr>
              <w:t>Sleep Efficiency</w:t>
            </w:r>
          </w:p>
        </w:tc>
        <w:tc>
          <w:tcPr>
            <w:tcW w:w="0" w:type="auto"/>
            <w:vAlign w:val="center"/>
            <w:hideMark/>
          </w:tcPr>
          <w:p w14:paraId="3DE18F3B" w14:textId="77777777" w:rsidR="0058667C" w:rsidRPr="0058667C" w:rsidRDefault="0058667C" w:rsidP="0058667C">
            <w:pPr>
              <w:spacing w:after="0"/>
              <w:ind w:firstLine="709"/>
              <w:jc w:val="both"/>
              <w:rPr>
                <w:lang w:val="en-US"/>
              </w:rPr>
            </w:pPr>
            <w:r w:rsidRPr="0058667C">
              <w:rPr>
                <w:lang w:val="en-US"/>
              </w:rPr>
              <w:t>82%</w:t>
            </w:r>
          </w:p>
        </w:tc>
        <w:tc>
          <w:tcPr>
            <w:tcW w:w="0" w:type="auto"/>
            <w:vAlign w:val="center"/>
            <w:hideMark/>
          </w:tcPr>
          <w:p w14:paraId="11409763" w14:textId="77777777" w:rsidR="0058667C" w:rsidRPr="0058667C" w:rsidRDefault="0058667C" w:rsidP="0058667C">
            <w:pPr>
              <w:spacing w:after="0"/>
              <w:ind w:firstLine="709"/>
              <w:jc w:val="both"/>
              <w:rPr>
                <w:lang w:val="en-US"/>
              </w:rPr>
            </w:pPr>
            <w:r w:rsidRPr="0058667C">
              <w:rPr>
                <w:lang w:val="en-US"/>
              </w:rPr>
              <w:t>&gt;85%</w:t>
            </w:r>
          </w:p>
        </w:tc>
        <w:tc>
          <w:tcPr>
            <w:tcW w:w="0" w:type="auto"/>
            <w:vAlign w:val="center"/>
            <w:hideMark/>
          </w:tcPr>
          <w:p w14:paraId="75FC7958" w14:textId="77777777" w:rsidR="0058667C" w:rsidRPr="0058667C" w:rsidRDefault="0058667C" w:rsidP="0058667C">
            <w:pPr>
              <w:spacing w:after="0"/>
              <w:ind w:firstLine="709"/>
              <w:jc w:val="both"/>
              <w:rPr>
                <w:lang w:val="en-US"/>
              </w:rPr>
            </w:pPr>
            <w:r w:rsidRPr="0058667C">
              <w:rPr>
                <w:lang w:val="en-US"/>
              </w:rPr>
              <w:t>Slightly reduced due to hotel environment and travel disruptions.</w:t>
            </w:r>
          </w:p>
        </w:tc>
      </w:tr>
      <w:tr w:rsidR="0058667C" w:rsidRPr="0058667C" w14:paraId="2B5439F3" w14:textId="77777777">
        <w:trPr>
          <w:tblCellSpacing w:w="15" w:type="dxa"/>
        </w:trPr>
        <w:tc>
          <w:tcPr>
            <w:tcW w:w="0" w:type="auto"/>
            <w:vAlign w:val="center"/>
            <w:hideMark/>
          </w:tcPr>
          <w:p w14:paraId="23333E2B" w14:textId="77777777" w:rsidR="0058667C" w:rsidRPr="0058667C" w:rsidRDefault="0058667C" w:rsidP="0058667C">
            <w:pPr>
              <w:spacing w:after="0"/>
              <w:ind w:firstLine="709"/>
              <w:jc w:val="both"/>
              <w:rPr>
                <w:lang w:val="en-US"/>
              </w:rPr>
            </w:pPr>
            <w:r w:rsidRPr="0058667C">
              <w:rPr>
                <w:lang w:val="en-US"/>
              </w:rPr>
              <w:t>Medicine Compliance</w:t>
            </w:r>
          </w:p>
        </w:tc>
        <w:tc>
          <w:tcPr>
            <w:tcW w:w="0" w:type="auto"/>
            <w:vAlign w:val="center"/>
            <w:hideMark/>
          </w:tcPr>
          <w:p w14:paraId="7FE4C252" w14:textId="77777777" w:rsidR="0058667C" w:rsidRPr="0058667C" w:rsidRDefault="0058667C" w:rsidP="0058667C">
            <w:pPr>
              <w:spacing w:after="0"/>
              <w:ind w:firstLine="709"/>
              <w:jc w:val="both"/>
              <w:rPr>
                <w:lang w:val="en-US"/>
              </w:rPr>
            </w:pPr>
            <w:r w:rsidRPr="0058667C">
              <w:rPr>
                <w:lang w:val="en-US"/>
              </w:rPr>
              <w:t>Excellent</w:t>
            </w:r>
          </w:p>
        </w:tc>
        <w:tc>
          <w:tcPr>
            <w:tcW w:w="0" w:type="auto"/>
            <w:vAlign w:val="center"/>
            <w:hideMark/>
          </w:tcPr>
          <w:p w14:paraId="05FFC7AB" w14:textId="77777777" w:rsidR="0058667C" w:rsidRPr="0058667C" w:rsidRDefault="0058667C" w:rsidP="0058667C">
            <w:pPr>
              <w:spacing w:after="0"/>
              <w:ind w:firstLine="709"/>
              <w:jc w:val="both"/>
              <w:rPr>
                <w:lang w:val="en-US"/>
              </w:rPr>
            </w:pPr>
            <w:r w:rsidRPr="0058667C">
              <w:rPr>
                <w:lang w:val="en-US"/>
              </w:rPr>
              <w:t>—</w:t>
            </w:r>
          </w:p>
        </w:tc>
        <w:tc>
          <w:tcPr>
            <w:tcW w:w="0" w:type="auto"/>
            <w:vAlign w:val="center"/>
            <w:hideMark/>
          </w:tcPr>
          <w:p w14:paraId="409B929C" w14:textId="77777777" w:rsidR="0058667C" w:rsidRPr="0058667C" w:rsidRDefault="0058667C" w:rsidP="0058667C">
            <w:pPr>
              <w:spacing w:after="0"/>
              <w:ind w:firstLine="709"/>
              <w:jc w:val="both"/>
              <w:rPr>
                <w:lang w:val="en-US"/>
              </w:rPr>
            </w:pPr>
            <w:r w:rsidRPr="0058667C">
              <w:rPr>
                <w:lang w:val="en-US"/>
              </w:rPr>
              <w:t>Maintained despite routine changes.</w:t>
            </w:r>
          </w:p>
        </w:tc>
      </w:tr>
    </w:tbl>
    <w:p w14:paraId="546923B3" w14:textId="77777777" w:rsidR="0058667C" w:rsidRPr="0058667C" w:rsidRDefault="0058667C" w:rsidP="006C0B77">
      <w:pPr>
        <w:spacing w:after="0"/>
        <w:ind w:firstLine="709"/>
        <w:jc w:val="both"/>
        <w:rPr>
          <w:lang w:val="en-US"/>
        </w:rPr>
      </w:pPr>
    </w:p>
    <w:sectPr w:rsidR="0058667C" w:rsidRPr="0058667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AA286E"/>
    <w:multiLevelType w:val="multilevel"/>
    <w:tmpl w:val="69A4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26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7C"/>
    <w:rsid w:val="00413883"/>
    <w:rsid w:val="0058667C"/>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566B"/>
  <w15:chartTrackingRefBased/>
  <w15:docId w15:val="{6AF7DD38-5F2C-44A7-A0DF-624384C9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58667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8667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8667C"/>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58667C"/>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667C"/>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5866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66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66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66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7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8667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8667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8667C"/>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58667C"/>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58667C"/>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58667C"/>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58667C"/>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58667C"/>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5866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67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86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67C"/>
    <w:pPr>
      <w:spacing w:before="160"/>
      <w:jc w:val="center"/>
    </w:pPr>
    <w:rPr>
      <w:i/>
      <w:iCs/>
      <w:color w:val="404040" w:themeColor="text1" w:themeTint="BF"/>
    </w:rPr>
  </w:style>
  <w:style w:type="character" w:customStyle="1" w:styleId="QuoteChar">
    <w:name w:val="Quote Char"/>
    <w:basedOn w:val="DefaultParagraphFont"/>
    <w:link w:val="Quote"/>
    <w:uiPriority w:val="29"/>
    <w:rsid w:val="0058667C"/>
    <w:rPr>
      <w:rFonts w:ascii="Times New Roman" w:hAnsi="Times New Roman"/>
      <w:i/>
      <w:iCs/>
      <w:color w:val="404040" w:themeColor="text1" w:themeTint="BF"/>
      <w:sz w:val="28"/>
    </w:rPr>
  </w:style>
  <w:style w:type="paragraph" w:styleId="ListParagraph">
    <w:name w:val="List Paragraph"/>
    <w:basedOn w:val="Normal"/>
    <w:uiPriority w:val="34"/>
    <w:qFormat/>
    <w:rsid w:val="0058667C"/>
    <w:pPr>
      <w:ind w:left="720"/>
      <w:contextualSpacing/>
    </w:pPr>
  </w:style>
  <w:style w:type="character" w:styleId="IntenseEmphasis">
    <w:name w:val="Intense Emphasis"/>
    <w:basedOn w:val="DefaultParagraphFont"/>
    <w:uiPriority w:val="21"/>
    <w:qFormat/>
    <w:rsid w:val="0058667C"/>
    <w:rPr>
      <w:i/>
      <w:iCs/>
      <w:color w:val="2E74B5" w:themeColor="accent1" w:themeShade="BF"/>
    </w:rPr>
  </w:style>
  <w:style w:type="paragraph" w:styleId="IntenseQuote">
    <w:name w:val="Intense Quote"/>
    <w:basedOn w:val="Normal"/>
    <w:next w:val="Normal"/>
    <w:link w:val="IntenseQuoteChar"/>
    <w:uiPriority w:val="30"/>
    <w:qFormat/>
    <w:rsid w:val="0058667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8667C"/>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58667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2025-08-17T12:10:00Z</dcterms:created>
  <dcterms:modified xsi:type="dcterms:W3CDTF">2025-08-17T12:11:00Z</dcterms:modified>
</cp:coreProperties>
</file>