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F272F" w14:textId="77777777" w:rsidR="00E67C03" w:rsidRPr="00E67C03" w:rsidRDefault="00E67C03" w:rsidP="00E67C03">
      <w:pPr>
        <w:spacing w:after="0"/>
        <w:ind w:firstLine="709"/>
        <w:jc w:val="center"/>
        <w:rPr>
          <w:b/>
          <w:bCs/>
          <w:lang w:val="en-US"/>
        </w:rPr>
      </w:pPr>
      <w:r w:rsidRPr="00E67C03">
        <w:rPr>
          <w:b/>
          <w:bCs/>
          <w:lang w:val="en-US"/>
        </w:rPr>
        <w:t>Week 23 – Renewed Consistency, Building Confidence, and Peer Mentoring</w:t>
      </w:r>
    </w:p>
    <w:p w14:paraId="467F2139" w14:textId="77777777" w:rsidR="00E67C03" w:rsidRPr="00E67C03" w:rsidRDefault="00E67C03" w:rsidP="00E67C03">
      <w:pPr>
        <w:spacing w:after="0"/>
        <w:ind w:firstLine="709"/>
        <w:jc w:val="both"/>
        <w:rPr>
          <w:lang w:val="en-US"/>
        </w:rPr>
      </w:pPr>
      <w:r w:rsidRPr="00E67C03">
        <w:rPr>
          <w:b/>
          <w:bCs/>
          <w:lang w:val="en-US"/>
        </w:rPr>
        <w:t>Medical:</w:t>
      </w:r>
      <w:r w:rsidRPr="00E67C03">
        <w:rPr>
          <w:lang w:val="en-US"/>
        </w:rPr>
        <w:br/>
        <w:t>This week’s review with Dr. Patel confirmed that Aarav’s vitals were stable, and no medication or treatment changes were required. His recovery trajectory remained positive, reinforcing the progress achieved over the past months.</w:t>
      </w:r>
    </w:p>
    <w:p w14:paraId="162A57CF" w14:textId="77777777" w:rsidR="00E67C03" w:rsidRPr="00E67C03" w:rsidRDefault="00E67C03" w:rsidP="00E67C03">
      <w:pPr>
        <w:spacing w:after="0"/>
        <w:ind w:firstLine="709"/>
        <w:jc w:val="both"/>
        <w:rPr>
          <w:lang w:val="en-US"/>
        </w:rPr>
      </w:pPr>
      <w:r w:rsidRPr="00E67C03">
        <w:rPr>
          <w:b/>
          <w:bCs/>
          <w:lang w:val="en-US"/>
        </w:rPr>
        <w:t>Physio:</w:t>
      </w:r>
      <w:r w:rsidRPr="00E67C03">
        <w:rPr>
          <w:lang w:val="en-US"/>
        </w:rPr>
        <w:br/>
        <w:t>Rachel progressively advanced Aarav’s agility drills, integrating quicker directional changes and controlled balance challenges. Aarav reported minimal soreness, a clear indicator of improved muscular endurance and adaptability. These drills enhanced his coordination and prepared him for more sport-specific movements.</w:t>
      </w:r>
    </w:p>
    <w:p w14:paraId="71775A57" w14:textId="77777777" w:rsidR="00E67C03" w:rsidRPr="00E67C03" w:rsidRDefault="00E67C03" w:rsidP="00E67C03">
      <w:pPr>
        <w:spacing w:after="0"/>
        <w:ind w:firstLine="709"/>
        <w:jc w:val="both"/>
        <w:rPr>
          <w:lang w:val="en-US"/>
        </w:rPr>
      </w:pPr>
      <w:r w:rsidRPr="00E67C03">
        <w:rPr>
          <w:b/>
          <w:bCs/>
          <w:lang w:val="en-US"/>
        </w:rPr>
        <w:t>Nutrition:</w:t>
      </w:r>
      <w:r w:rsidRPr="00E67C03">
        <w:rPr>
          <w:lang w:val="en-US"/>
        </w:rPr>
        <w:br/>
        <w:t>Carla encouraged variety by introducing new high-protein recipes, snack options, and smoothie blends to keep Aarav’s meals engaging. Aarav’s commitment to maintaining detailed nutrition logs demonstrated accountability and helped track intake quality and consistency.</w:t>
      </w:r>
    </w:p>
    <w:p w14:paraId="0AD1BA03" w14:textId="77777777" w:rsidR="00E67C03" w:rsidRPr="00E67C03" w:rsidRDefault="00E67C03" w:rsidP="00E67C03">
      <w:pPr>
        <w:spacing w:after="0"/>
        <w:ind w:firstLine="709"/>
        <w:jc w:val="both"/>
        <w:rPr>
          <w:lang w:val="en-US"/>
        </w:rPr>
      </w:pPr>
      <w:r w:rsidRPr="00E67C03">
        <w:rPr>
          <w:b/>
          <w:bCs/>
          <w:lang w:val="en-US"/>
        </w:rPr>
        <w:t>Mental Health:</w:t>
      </w:r>
      <w:r w:rsidRPr="00E67C03">
        <w:rPr>
          <w:lang w:val="en-US"/>
        </w:rPr>
        <w:br/>
        <w:t>Dr. Isha guided Aarav to reflect on his journey by mentoring younger peers in the support community. This not only reinforced his own growth but also fostered a sense of purpose, which boosted his confidence and resilience.</w:t>
      </w:r>
    </w:p>
    <w:p w14:paraId="2AD9C90D" w14:textId="77777777" w:rsidR="00E67C03" w:rsidRPr="00E67C03" w:rsidRDefault="00E67C03" w:rsidP="00E67C03">
      <w:pPr>
        <w:spacing w:after="0"/>
        <w:ind w:firstLine="709"/>
        <w:jc w:val="both"/>
        <w:rPr>
          <w:lang w:val="en-US"/>
        </w:rPr>
      </w:pPr>
      <w:r w:rsidRPr="00E67C03">
        <w:rPr>
          <w:b/>
          <w:bCs/>
          <w:lang w:val="en-US"/>
        </w:rPr>
        <w:t>Engagement:</w:t>
      </w:r>
      <w:r w:rsidRPr="00E67C03">
        <w:rPr>
          <w:lang w:val="en-US"/>
        </w:rPr>
        <w:br/>
        <w:t>Aarav actively took the lead in peer group calls, sharing practical strategies on managing travel, recovery routines, and nutrition balance. His openness inspired newer members, positioning him as both a role model and a mentor.</w:t>
      </w:r>
    </w:p>
    <w:p w14:paraId="0002C7E6" w14:textId="77777777" w:rsidR="00E67C03" w:rsidRPr="00E67C03" w:rsidRDefault="00E67C03" w:rsidP="00E67C03">
      <w:pPr>
        <w:spacing w:after="0"/>
        <w:ind w:firstLine="709"/>
        <w:jc w:val="both"/>
        <w:rPr>
          <w:lang w:val="en-US"/>
        </w:rPr>
      </w:pPr>
      <w:r w:rsidRPr="00E67C03">
        <w:rPr>
          <w:b/>
          <w:bCs/>
          <w:lang w:val="en-US"/>
        </w:rPr>
        <w:t>Overall:</w:t>
      </w:r>
      <w:r w:rsidRPr="00E67C03">
        <w:rPr>
          <w:lang w:val="en-US"/>
        </w:rPr>
        <w:br/>
        <w:t>This was a leadership-driven week. Aarav embraced consistency, reinforced his confidence through mentoring, and inspired peers by transforming his recovery journey into a guiding example for others.</w:t>
      </w:r>
    </w:p>
    <w:p w14:paraId="05BB83AC" w14:textId="77777777" w:rsidR="00E67C03" w:rsidRPr="00E67C03" w:rsidRDefault="00E67C03" w:rsidP="00E67C03">
      <w:pPr>
        <w:spacing w:after="0"/>
        <w:ind w:firstLine="709"/>
        <w:jc w:val="both"/>
        <w:rPr>
          <w:lang w:val="en-US"/>
        </w:rPr>
      </w:pPr>
      <w:r w:rsidRPr="00E67C03">
        <w:rPr>
          <w:lang w:val="en-US"/>
        </w:rPr>
        <w:pict w14:anchorId="2324FA9D">
          <v:rect id="_x0000_i1031" style="width:0;height:1.5pt" o:hralign="center" o:hrstd="t" o:hr="t" fillcolor="#a0a0a0" stroked="f"/>
        </w:pict>
      </w:r>
    </w:p>
    <w:p w14:paraId="05B70B0C" w14:textId="77777777" w:rsidR="00E67C03" w:rsidRPr="00E67C03" w:rsidRDefault="00E67C03" w:rsidP="00E67C03">
      <w:pPr>
        <w:spacing w:after="0"/>
        <w:ind w:firstLine="709"/>
        <w:jc w:val="both"/>
        <w:rPr>
          <w:b/>
          <w:bCs/>
          <w:lang w:val="en-US"/>
        </w:rPr>
      </w:pPr>
      <w:r w:rsidRPr="00E67C03">
        <w:rPr>
          <w:b/>
          <w:bCs/>
          <w:lang w:val="en-US"/>
        </w:rPr>
        <w:t>Week 23 Key Tests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5"/>
        <w:gridCol w:w="1885"/>
        <w:gridCol w:w="1794"/>
        <w:gridCol w:w="2920"/>
      </w:tblGrid>
      <w:tr w:rsidR="00E67C03" w:rsidRPr="00E67C03" w14:paraId="0F0A6580" w14:textId="77777777">
        <w:trPr>
          <w:tblHeader/>
          <w:tblCellSpacing w:w="15" w:type="dxa"/>
        </w:trPr>
        <w:tc>
          <w:tcPr>
            <w:tcW w:w="0" w:type="auto"/>
            <w:vAlign w:val="center"/>
            <w:hideMark/>
          </w:tcPr>
          <w:p w14:paraId="5A2F7717" w14:textId="77777777" w:rsidR="00E67C03" w:rsidRPr="00E67C03" w:rsidRDefault="00E67C03" w:rsidP="00E67C03">
            <w:pPr>
              <w:spacing w:after="0"/>
              <w:ind w:firstLine="709"/>
              <w:jc w:val="both"/>
              <w:rPr>
                <w:b/>
                <w:bCs/>
                <w:lang w:val="en-US"/>
              </w:rPr>
            </w:pPr>
            <w:r w:rsidRPr="00E67C03">
              <w:rPr>
                <w:b/>
                <w:bCs/>
                <w:lang w:val="en-US"/>
              </w:rPr>
              <w:t>Test / Measure</w:t>
            </w:r>
          </w:p>
        </w:tc>
        <w:tc>
          <w:tcPr>
            <w:tcW w:w="0" w:type="auto"/>
            <w:vAlign w:val="center"/>
            <w:hideMark/>
          </w:tcPr>
          <w:p w14:paraId="69F882C8" w14:textId="77777777" w:rsidR="00E67C03" w:rsidRPr="00E67C03" w:rsidRDefault="00E67C03" w:rsidP="00E67C03">
            <w:pPr>
              <w:spacing w:after="0"/>
              <w:ind w:firstLine="709"/>
              <w:jc w:val="both"/>
              <w:rPr>
                <w:b/>
                <w:bCs/>
                <w:lang w:val="en-US"/>
              </w:rPr>
            </w:pPr>
            <w:r w:rsidRPr="00E67C03">
              <w:rPr>
                <w:b/>
                <w:bCs/>
                <w:lang w:val="en-US"/>
              </w:rPr>
              <w:t>Value</w:t>
            </w:r>
          </w:p>
        </w:tc>
        <w:tc>
          <w:tcPr>
            <w:tcW w:w="0" w:type="auto"/>
            <w:vAlign w:val="center"/>
            <w:hideMark/>
          </w:tcPr>
          <w:p w14:paraId="7DBE1E7A" w14:textId="77777777" w:rsidR="00E67C03" w:rsidRPr="00E67C03" w:rsidRDefault="00E67C03" w:rsidP="00E67C03">
            <w:pPr>
              <w:spacing w:after="0"/>
              <w:ind w:firstLine="709"/>
              <w:jc w:val="both"/>
              <w:rPr>
                <w:b/>
                <w:bCs/>
                <w:lang w:val="en-US"/>
              </w:rPr>
            </w:pPr>
            <w:r w:rsidRPr="00E67C03">
              <w:rPr>
                <w:b/>
                <w:bCs/>
                <w:lang w:val="en-US"/>
              </w:rPr>
              <w:t>Normal Range</w:t>
            </w:r>
          </w:p>
        </w:tc>
        <w:tc>
          <w:tcPr>
            <w:tcW w:w="0" w:type="auto"/>
            <w:vAlign w:val="center"/>
            <w:hideMark/>
          </w:tcPr>
          <w:p w14:paraId="01A416C6" w14:textId="77777777" w:rsidR="00E67C03" w:rsidRPr="00E67C03" w:rsidRDefault="00E67C03" w:rsidP="00E67C03">
            <w:pPr>
              <w:spacing w:after="0"/>
              <w:ind w:firstLine="709"/>
              <w:jc w:val="both"/>
              <w:rPr>
                <w:b/>
                <w:bCs/>
                <w:lang w:val="en-US"/>
              </w:rPr>
            </w:pPr>
            <w:r w:rsidRPr="00E67C03">
              <w:rPr>
                <w:b/>
                <w:bCs/>
                <w:lang w:val="en-US"/>
              </w:rPr>
              <w:t>Comments</w:t>
            </w:r>
          </w:p>
        </w:tc>
      </w:tr>
      <w:tr w:rsidR="00E67C03" w:rsidRPr="00E67C03" w14:paraId="10A31F6C" w14:textId="77777777">
        <w:trPr>
          <w:tblCellSpacing w:w="15" w:type="dxa"/>
        </w:trPr>
        <w:tc>
          <w:tcPr>
            <w:tcW w:w="0" w:type="auto"/>
            <w:vAlign w:val="center"/>
            <w:hideMark/>
          </w:tcPr>
          <w:p w14:paraId="1CE4A27D" w14:textId="77777777" w:rsidR="00E67C03" w:rsidRPr="00E67C03" w:rsidRDefault="00E67C03" w:rsidP="00E67C03">
            <w:pPr>
              <w:spacing w:after="0"/>
              <w:ind w:firstLine="709"/>
              <w:jc w:val="both"/>
              <w:rPr>
                <w:lang w:val="en-US"/>
              </w:rPr>
            </w:pPr>
            <w:r w:rsidRPr="00E67C03">
              <w:rPr>
                <w:lang w:val="en-US"/>
              </w:rPr>
              <w:t>Hemoglobin</w:t>
            </w:r>
          </w:p>
        </w:tc>
        <w:tc>
          <w:tcPr>
            <w:tcW w:w="0" w:type="auto"/>
            <w:vAlign w:val="center"/>
            <w:hideMark/>
          </w:tcPr>
          <w:p w14:paraId="0A3A633A" w14:textId="77777777" w:rsidR="00E67C03" w:rsidRPr="00E67C03" w:rsidRDefault="00E67C03" w:rsidP="00E67C03">
            <w:pPr>
              <w:spacing w:after="0"/>
              <w:ind w:firstLine="709"/>
              <w:jc w:val="both"/>
              <w:rPr>
                <w:lang w:val="en-US"/>
              </w:rPr>
            </w:pPr>
            <w:r w:rsidRPr="00E67C03">
              <w:rPr>
                <w:lang w:val="en-US"/>
              </w:rPr>
              <w:t>14.7 g/dL</w:t>
            </w:r>
          </w:p>
        </w:tc>
        <w:tc>
          <w:tcPr>
            <w:tcW w:w="0" w:type="auto"/>
            <w:vAlign w:val="center"/>
            <w:hideMark/>
          </w:tcPr>
          <w:p w14:paraId="7CFD60AD" w14:textId="77777777" w:rsidR="00E67C03" w:rsidRPr="00E67C03" w:rsidRDefault="00E67C03" w:rsidP="00E67C03">
            <w:pPr>
              <w:spacing w:after="0"/>
              <w:ind w:firstLine="709"/>
              <w:jc w:val="both"/>
              <w:rPr>
                <w:lang w:val="en-US"/>
              </w:rPr>
            </w:pPr>
            <w:r w:rsidRPr="00E67C03">
              <w:rPr>
                <w:lang w:val="en-US"/>
              </w:rPr>
              <w:t>13.5–17.5 g/dL</w:t>
            </w:r>
          </w:p>
        </w:tc>
        <w:tc>
          <w:tcPr>
            <w:tcW w:w="0" w:type="auto"/>
            <w:vAlign w:val="center"/>
            <w:hideMark/>
          </w:tcPr>
          <w:p w14:paraId="1F72C2AD" w14:textId="77777777" w:rsidR="00E67C03" w:rsidRPr="00E67C03" w:rsidRDefault="00E67C03" w:rsidP="00E67C03">
            <w:pPr>
              <w:spacing w:after="0"/>
              <w:ind w:firstLine="709"/>
              <w:jc w:val="both"/>
              <w:rPr>
                <w:lang w:val="en-US"/>
              </w:rPr>
            </w:pPr>
            <w:r w:rsidRPr="00E67C03">
              <w:rPr>
                <w:lang w:val="en-US"/>
              </w:rPr>
              <w:t>Stable, reflecting good overall health.</w:t>
            </w:r>
          </w:p>
        </w:tc>
      </w:tr>
      <w:tr w:rsidR="00E67C03" w:rsidRPr="00E67C03" w14:paraId="3E440D7C" w14:textId="77777777">
        <w:trPr>
          <w:tblCellSpacing w:w="15" w:type="dxa"/>
        </w:trPr>
        <w:tc>
          <w:tcPr>
            <w:tcW w:w="0" w:type="auto"/>
            <w:vAlign w:val="center"/>
            <w:hideMark/>
          </w:tcPr>
          <w:p w14:paraId="5CF92B07" w14:textId="77777777" w:rsidR="00E67C03" w:rsidRPr="00E67C03" w:rsidRDefault="00E67C03" w:rsidP="00E67C03">
            <w:pPr>
              <w:spacing w:after="0"/>
              <w:ind w:firstLine="709"/>
              <w:jc w:val="both"/>
              <w:rPr>
                <w:lang w:val="en-US"/>
              </w:rPr>
            </w:pPr>
            <w:r w:rsidRPr="00E67C03">
              <w:rPr>
                <w:lang w:val="en-US"/>
              </w:rPr>
              <w:t>Iron (Serum Ferritin)</w:t>
            </w:r>
          </w:p>
        </w:tc>
        <w:tc>
          <w:tcPr>
            <w:tcW w:w="0" w:type="auto"/>
            <w:vAlign w:val="center"/>
            <w:hideMark/>
          </w:tcPr>
          <w:p w14:paraId="5DF49F9B" w14:textId="77777777" w:rsidR="00E67C03" w:rsidRPr="00E67C03" w:rsidRDefault="00E67C03" w:rsidP="00E67C03">
            <w:pPr>
              <w:spacing w:after="0"/>
              <w:ind w:firstLine="709"/>
              <w:jc w:val="both"/>
              <w:rPr>
                <w:lang w:val="en-US"/>
              </w:rPr>
            </w:pPr>
            <w:r w:rsidRPr="00E67C03">
              <w:rPr>
                <w:lang w:val="en-US"/>
              </w:rPr>
              <w:t>95 ng/mL</w:t>
            </w:r>
          </w:p>
        </w:tc>
        <w:tc>
          <w:tcPr>
            <w:tcW w:w="0" w:type="auto"/>
            <w:vAlign w:val="center"/>
            <w:hideMark/>
          </w:tcPr>
          <w:p w14:paraId="0C9BE503" w14:textId="77777777" w:rsidR="00E67C03" w:rsidRPr="00E67C03" w:rsidRDefault="00E67C03" w:rsidP="00E67C03">
            <w:pPr>
              <w:spacing w:after="0"/>
              <w:ind w:firstLine="709"/>
              <w:jc w:val="both"/>
              <w:rPr>
                <w:lang w:val="en-US"/>
              </w:rPr>
            </w:pPr>
            <w:r w:rsidRPr="00E67C03">
              <w:rPr>
                <w:lang w:val="en-US"/>
              </w:rPr>
              <w:t>30–300 ng/mL</w:t>
            </w:r>
          </w:p>
        </w:tc>
        <w:tc>
          <w:tcPr>
            <w:tcW w:w="0" w:type="auto"/>
            <w:vAlign w:val="center"/>
            <w:hideMark/>
          </w:tcPr>
          <w:p w14:paraId="53AD668D" w14:textId="77777777" w:rsidR="00E67C03" w:rsidRPr="00E67C03" w:rsidRDefault="00E67C03" w:rsidP="00E67C03">
            <w:pPr>
              <w:spacing w:after="0"/>
              <w:ind w:firstLine="709"/>
              <w:jc w:val="both"/>
              <w:rPr>
                <w:lang w:val="en-US"/>
              </w:rPr>
            </w:pPr>
            <w:r w:rsidRPr="00E67C03">
              <w:rPr>
                <w:lang w:val="en-US"/>
              </w:rPr>
              <w:t>Within normal range, slight improvement.</w:t>
            </w:r>
          </w:p>
        </w:tc>
      </w:tr>
      <w:tr w:rsidR="00E67C03" w:rsidRPr="00E67C03" w14:paraId="6174642B" w14:textId="77777777">
        <w:trPr>
          <w:tblCellSpacing w:w="15" w:type="dxa"/>
        </w:trPr>
        <w:tc>
          <w:tcPr>
            <w:tcW w:w="0" w:type="auto"/>
            <w:vAlign w:val="center"/>
            <w:hideMark/>
          </w:tcPr>
          <w:p w14:paraId="53C614DA" w14:textId="77777777" w:rsidR="00E67C03" w:rsidRPr="00E67C03" w:rsidRDefault="00E67C03" w:rsidP="00E67C03">
            <w:pPr>
              <w:spacing w:after="0"/>
              <w:ind w:firstLine="709"/>
              <w:jc w:val="both"/>
              <w:rPr>
                <w:lang w:val="en-US"/>
              </w:rPr>
            </w:pPr>
            <w:r w:rsidRPr="00E67C03">
              <w:rPr>
                <w:lang w:val="en-US"/>
              </w:rPr>
              <w:t>Vitamin D (25-OH)</w:t>
            </w:r>
          </w:p>
        </w:tc>
        <w:tc>
          <w:tcPr>
            <w:tcW w:w="0" w:type="auto"/>
            <w:vAlign w:val="center"/>
            <w:hideMark/>
          </w:tcPr>
          <w:p w14:paraId="711AE1FC" w14:textId="77777777" w:rsidR="00E67C03" w:rsidRPr="00E67C03" w:rsidRDefault="00E67C03" w:rsidP="00E67C03">
            <w:pPr>
              <w:spacing w:after="0"/>
              <w:ind w:firstLine="709"/>
              <w:jc w:val="both"/>
              <w:rPr>
                <w:lang w:val="en-US"/>
              </w:rPr>
            </w:pPr>
            <w:r w:rsidRPr="00E67C03">
              <w:rPr>
                <w:lang w:val="en-US"/>
              </w:rPr>
              <w:t>31 ng/mL</w:t>
            </w:r>
          </w:p>
        </w:tc>
        <w:tc>
          <w:tcPr>
            <w:tcW w:w="0" w:type="auto"/>
            <w:vAlign w:val="center"/>
            <w:hideMark/>
          </w:tcPr>
          <w:p w14:paraId="2F5C64E1" w14:textId="77777777" w:rsidR="00E67C03" w:rsidRPr="00E67C03" w:rsidRDefault="00E67C03" w:rsidP="00E67C03">
            <w:pPr>
              <w:spacing w:after="0"/>
              <w:ind w:firstLine="709"/>
              <w:jc w:val="both"/>
              <w:rPr>
                <w:lang w:val="en-US"/>
              </w:rPr>
            </w:pPr>
            <w:r w:rsidRPr="00E67C03">
              <w:rPr>
                <w:lang w:val="en-US"/>
              </w:rPr>
              <w:t>30–100 ng/mL</w:t>
            </w:r>
          </w:p>
        </w:tc>
        <w:tc>
          <w:tcPr>
            <w:tcW w:w="0" w:type="auto"/>
            <w:vAlign w:val="center"/>
            <w:hideMark/>
          </w:tcPr>
          <w:p w14:paraId="0696C79C" w14:textId="77777777" w:rsidR="00E67C03" w:rsidRPr="00E67C03" w:rsidRDefault="00E67C03" w:rsidP="00E67C03">
            <w:pPr>
              <w:spacing w:after="0"/>
              <w:ind w:firstLine="709"/>
              <w:jc w:val="both"/>
              <w:rPr>
                <w:lang w:val="en-US"/>
              </w:rPr>
            </w:pPr>
            <w:r w:rsidRPr="00E67C03">
              <w:rPr>
                <w:lang w:val="en-US"/>
              </w:rPr>
              <w:t>Back within healthy range after sun and diet adjustments.</w:t>
            </w:r>
          </w:p>
        </w:tc>
      </w:tr>
      <w:tr w:rsidR="00E67C03" w:rsidRPr="00E67C03" w14:paraId="508F75EA" w14:textId="77777777">
        <w:trPr>
          <w:tblCellSpacing w:w="15" w:type="dxa"/>
        </w:trPr>
        <w:tc>
          <w:tcPr>
            <w:tcW w:w="0" w:type="auto"/>
            <w:vAlign w:val="center"/>
            <w:hideMark/>
          </w:tcPr>
          <w:p w14:paraId="49339DD0" w14:textId="77777777" w:rsidR="00E67C03" w:rsidRPr="00E67C03" w:rsidRDefault="00E67C03" w:rsidP="00E67C03">
            <w:pPr>
              <w:spacing w:after="0"/>
              <w:ind w:firstLine="709"/>
              <w:jc w:val="both"/>
              <w:rPr>
                <w:lang w:val="en-US"/>
              </w:rPr>
            </w:pPr>
            <w:r w:rsidRPr="00E67C03">
              <w:rPr>
                <w:lang w:val="en-US"/>
              </w:rPr>
              <w:t>Blood Pressure</w:t>
            </w:r>
          </w:p>
        </w:tc>
        <w:tc>
          <w:tcPr>
            <w:tcW w:w="0" w:type="auto"/>
            <w:vAlign w:val="center"/>
            <w:hideMark/>
          </w:tcPr>
          <w:p w14:paraId="5C3A0662" w14:textId="77777777" w:rsidR="00E67C03" w:rsidRPr="00E67C03" w:rsidRDefault="00E67C03" w:rsidP="00E67C03">
            <w:pPr>
              <w:spacing w:after="0"/>
              <w:ind w:firstLine="709"/>
              <w:jc w:val="both"/>
              <w:rPr>
                <w:lang w:val="en-US"/>
              </w:rPr>
            </w:pPr>
            <w:r w:rsidRPr="00E67C03">
              <w:rPr>
                <w:lang w:val="en-US"/>
              </w:rPr>
              <w:t>118/76 mmHg</w:t>
            </w:r>
          </w:p>
        </w:tc>
        <w:tc>
          <w:tcPr>
            <w:tcW w:w="0" w:type="auto"/>
            <w:vAlign w:val="center"/>
            <w:hideMark/>
          </w:tcPr>
          <w:p w14:paraId="3913C4EE" w14:textId="77777777" w:rsidR="00E67C03" w:rsidRPr="00E67C03" w:rsidRDefault="00E67C03" w:rsidP="00E67C03">
            <w:pPr>
              <w:spacing w:after="0"/>
              <w:ind w:firstLine="709"/>
              <w:jc w:val="both"/>
              <w:rPr>
                <w:lang w:val="en-US"/>
              </w:rPr>
            </w:pPr>
            <w:r w:rsidRPr="00E67C03">
              <w:rPr>
                <w:lang w:val="en-US"/>
              </w:rPr>
              <w:t>110–120/70–80</w:t>
            </w:r>
          </w:p>
        </w:tc>
        <w:tc>
          <w:tcPr>
            <w:tcW w:w="0" w:type="auto"/>
            <w:vAlign w:val="center"/>
            <w:hideMark/>
          </w:tcPr>
          <w:p w14:paraId="4676A472" w14:textId="77777777" w:rsidR="00E67C03" w:rsidRPr="00E67C03" w:rsidRDefault="00E67C03" w:rsidP="00E67C03">
            <w:pPr>
              <w:spacing w:after="0"/>
              <w:ind w:firstLine="709"/>
              <w:jc w:val="both"/>
              <w:rPr>
                <w:lang w:val="en-US"/>
              </w:rPr>
            </w:pPr>
            <w:r w:rsidRPr="00E67C03">
              <w:rPr>
                <w:lang w:val="en-US"/>
              </w:rPr>
              <w:t>Optimal and stable.</w:t>
            </w:r>
          </w:p>
        </w:tc>
      </w:tr>
      <w:tr w:rsidR="00E67C03" w:rsidRPr="00E67C03" w14:paraId="36AFAEE9" w14:textId="77777777">
        <w:trPr>
          <w:tblCellSpacing w:w="15" w:type="dxa"/>
        </w:trPr>
        <w:tc>
          <w:tcPr>
            <w:tcW w:w="0" w:type="auto"/>
            <w:vAlign w:val="center"/>
            <w:hideMark/>
          </w:tcPr>
          <w:p w14:paraId="2AAB7D4F" w14:textId="77777777" w:rsidR="00E67C03" w:rsidRPr="00E67C03" w:rsidRDefault="00E67C03" w:rsidP="00E67C03">
            <w:pPr>
              <w:spacing w:after="0"/>
              <w:ind w:firstLine="709"/>
              <w:jc w:val="both"/>
              <w:rPr>
                <w:lang w:val="en-US"/>
              </w:rPr>
            </w:pPr>
            <w:r w:rsidRPr="00E67C03">
              <w:rPr>
                <w:lang w:val="en-US"/>
              </w:rPr>
              <w:t>Resting Heart Rate</w:t>
            </w:r>
          </w:p>
        </w:tc>
        <w:tc>
          <w:tcPr>
            <w:tcW w:w="0" w:type="auto"/>
            <w:vAlign w:val="center"/>
            <w:hideMark/>
          </w:tcPr>
          <w:p w14:paraId="0FF2F760" w14:textId="77777777" w:rsidR="00E67C03" w:rsidRPr="00E67C03" w:rsidRDefault="00E67C03" w:rsidP="00E67C03">
            <w:pPr>
              <w:spacing w:after="0"/>
              <w:ind w:firstLine="709"/>
              <w:jc w:val="both"/>
              <w:rPr>
                <w:lang w:val="en-US"/>
              </w:rPr>
            </w:pPr>
            <w:r w:rsidRPr="00E67C03">
              <w:rPr>
                <w:lang w:val="en-US"/>
              </w:rPr>
              <w:t>65 bpm</w:t>
            </w:r>
          </w:p>
        </w:tc>
        <w:tc>
          <w:tcPr>
            <w:tcW w:w="0" w:type="auto"/>
            <w:vAlign w:val="center"/>
            <w:hideMark/>
          </w:tcPr>
          <w:p w14:paraId="7708CFC6" w14:textId="77777777" w:rsidR="00E67C03" w:rsidRPr="00E67C03" w:rsidRDefault="00E67C03" w:rsidP="00E67C03">
            <w:pPr>
              <w:spacing w:after="0"/>
              <w:ind w:firstLine="709"/>
              <w:jc w:val="both"/>
              <w:rPr>
                <w:lang w:val="en-US"/>
              </w:rPr>
            </w:pPr>
            <w:r w:rsidRPr="00E67C03">
              <w:rPr>
                <w:lang w:val="en-US"/>
              </w:rPr>
              <w:t>50–70 bpm</w:t>
            </w:r>
          </w:p>
        </w:tc>
        <w:tc>
          <w:tcPr>
            <w:tcW w:w="0" w:type="auto"/>
            <w:vAlign w:val="center"/>
            <w:hideMark/>
          </w:tcPr>
          <w:p w14:paraId="2817DE16" w14:textId="77777777" w:rsidR="00E67C03" w:rsidRPr="00E67C03" w:rsidRDefault="00E67C03" w:rsidP="00E67C03">
            <w:pPr>
              <w:spacing w:after="0"/>
              <w:ind w:firstLine="709"/>
              <w:jc w:val="both"/>
              <w:rPr>
                <w:lang w:val="en-US"/>
              </w:rPr>
            </w:pPr>
            <w:r w:rsidRPr="00E67C03">
              <w:rPr>
                <w:lang w:val="en-US"/>
              </w:rPr>
              <w:t>Healthy, showing good recovery response.</w:t>
            </w:r>
          </w:p>
        </w:tc>
      </w:tr>
      <w:tr w:rsidR="00E67C03" w:rsidRPr="00E67C03" w14:paraId="0D613350" w14:textId="77777777">
        <w:trPr>
          <w:tblCellSpacing w:w="15" w:type="dxa"/>
        </w:trPr>
        <w:tc>
          <w:tcPr>
            <w:tcW w:w="0" w:type="auto"/>
            <w:vAlign w:val="center"/>
            <w:hideMark/>
          </w:tcPr>
          <w:p w14:paraId="0CD5EDF9" w14:textId="77777777" w:rsidR="00E67C03" w:rsidRPr="00E67C03" w:rsidRDefault="00E67C03" w:rsidP="00E67C03">
            <w:pPr>
              <w:spacing w:after="0"/>
              <w:ind w:firstLine="709"/>
              <w:jc w:val="both"/>
              <w:rPr>
                <w:lang w:val="en-US"/>
              </w:rPr>
            </w:pPr>
            <w:r w:rsidRPr="00E67C03">
              <w:rPr>
                <w:lang w:val="en-US"/>
              </w:rPr>
              <w:lastRenderedPageBreak/>
              <w:t>Agility/Balance Score</w:t>
            </w:r>
          </w:p>
        </w:tc>
        <w:tc>
          <w:tcPr>
            <w:tcW w:w="0" w:type="auto"/>
            <w:vAlign w:val="center"/>
            <w:hideMark/>
          </w:tcPr>
          <w:p w14:paraId="06172E52" w14:textId="77777777" w:rsidR="00E67C03" w:rsidRPr="00E67C03" w:rsidRDefault="00E67C03" w:rsidP="00E67C03">
            <w:pPr>
              <w:spacing w:after="0"/>
              <w:ind w:firstLine="709"/>
              <w:jc w:val="both"/>
              <w:rPr>
                <w:lang w:val="en-US"/>
              </w:rPr>
            </w:pPr>
            <w:r w:rsidRPr="00E67C03">
              <w:rPr>
                <w:lang w:val="en-US"/>
              </w:rPr>
              <w:t>7.9/10</w:t>
            </w:r>
          </w:p>
        </w:tc>
        <w:tc>
          <w:tcPr>
            <w:tcW w:w="0" w:type="auto"/>
            <w:vAlign w:val="center"/>
            <w:hideMark/>
          </w:tcPr>
          <w:p w14:paraId="4258B07E" w14:textId="77777777" w:rsidR="00E67C03" w:rsidRPr="00E67C03" w:rsidRDefault="00E67C03" w:rsidP="00E67C03">
            <w:pPr>
              <w:spacing w:after="0"/>
              <w:ind w:firstLine="709"/>
              <w:jc w:val="both"/>
              <w:rPr>
                <w:lang w:val="en-US"/>
              </w:rPr>
            </w:pPr>
            <w:r w:rsidRPr="00E67C03">
              <w:rPr>
                <w:lang w:val="en-US"/>
              </w:rPr>
              <w:t>7–9 balanced</w:t>
            </w:r>
          </w:p>
        </w:tc>
        <w:tc>
          <w:tcPr>
            <w:tcW w:w="0" w:type="auto"/>
            <w:vAlign w:val="center"/>
            <w:hideMark/>
          </w:tcPr>
          <w:p w14:paraId="5F77AE29" w14:textId="77777777" w:rsidR="00E67C03" w:rsidRPr="00E67C03" w:rsidRDefault="00E67C03" w:rsidP="00E67C03">
            <w:pPr>
              <w:spacing w:after="0"/>
              <w:ind w:firstLine="709"/>
              <w:jc w:val="both"/>
              <w:rPr>
                <w:lang w:val="en-US"/>
              </w:rPr>
            </w:pPr>
            <w:r w:rsidRPr="00E67C03">
              <w:rPr>
                <w:lang w:val="en-US"/>
              </w:rPr>
              <w:t>Improvement from prior week’s drills.</w:t>
            </w:r>
          </w:p>
        </w:tc>
      </w:tr>
      <w:tr w:rsidR="00E67C03" w:rsidRPr="00E67C03" w14:paraId="5747BFB3" w14:textId="77777777">
        <w:trPr>
          <w:tblCellSpacing w:w="15" w:type="dxa"/>
        </w:trPr>
        <w:tc>
          <w:tcPr>
            <w:tcW w:w="0" w:type="auto"/>
            <w:vAlign w:val="center"/>
            <w:hideMark/>
          </w:tcPr>
          <w:p w14:paraId="64FA446D" w14:textId="77777777" w:rsidR="00E67C03" w:rsidRPr="00E67C03" w:rsidRDefault="00E67C03" w:rsidP="00E67C03">
            <w:pPr>
              <w:spacing w:after="0"/>
              <w:ind w:firstLine="709"/>
              <w:jc w:val="both"/>
              <w:rPr>
                <w:lang w:val="en-US"/>
              </w:rPr>
            </w:pPr>
            <w:r w:rsidRPr="00E67C03">
              <w:rPr>
                <w:lang w:val="en-US"/>
              </w:rPr>
              <w:t>Recovery Index (Sleep/HRV)</w:t>
            </w:r>
          </w:p>
        </w:tc>
        <w:tc>
          <w:tcPr>
            <w:tcW w:w="0" w:type="auto"/>
            <w:vAlign w:val="center"/>
            <w:hideMark/>
          </w:tcPr>
          <w:p w14:paraId="701FE48F" w14:textId="77777777" w:rsidR="00E67C03" w:rsidRPr="00E67C03" w:rsidRDefault="00E67C03" w:rsidP="00E67C03">
            <w:pPr>
              <w:spacing w:after="0"/>
              <w:ind w:firstLine="709"/>
              <w:jc w:val="both"/>
              <w:rPr>
                <w:lang w:val="en-US"/>
              </w:rPr>
            </w:pPr>
            <w:r w:rsidRPr="00E67C03">
              <w:rPr>
                <w:lang w:val="en-US"/>
              </w:rPr>
              <w:t>Balanced</w:t>
            </w:r>
          </w:p>
        </w:tc>
        <w:tc>
          <w:tcPr>
            <w:tcW w:w="0" w:type="auto"/>
            <w:vAlign w:val="center"/>
            <w:hideMark/>
          </w:tcPr>
          <w:p w14:paraId="12902F6C" w14:textId="77777777" w:rsidR="00E67C03" w:rsidRPr="00E67C03" w:rsidRDefault="00E67C03" w:rsidP="00E67C03">
            <w:pPr>
              <w:spacing w:after="0"/>
              <w:ind w:firstLine="709"/>
              <w:jc w:val="both"/>
              <w:rPr>
                <w:lang w:val="en-US"/>
              </w:rPr>
            </w:pPr>
            <w:r w:rsidRPr="00E67C03">
              <w:rPr>
                <w:lang w:val="en-US"/>
              </w:rPr>
              <w:t>—</w:t>
            </w:r>
          </w:p>
        </w:tc>
        <w:tc>
          <w:tcPr>
            <w:tcW w:w="0" w:type="auto"/>
            <w:vAlign w:val="center"/>
            <w:hideMark/>
          </w:tcPr>
          <w:p w14:paraId="4078043F" w14:textId="77777777" w:rsidR="00E67C03" w:rsidRPr="00E67C03" w:rsidRDefault="00E67C03" w:rsidP="00E67C03">
            <w:pPr>
              <w:spacing w:after="0"/>
              <w:ind w:firstLine="709"/>
              <w:jc w:val="both"/>
              <w:rPr>
                <w:lang w:val="en-US"/>
              </w:rPr>
            </w:pPr>
            <w:r w:rsidRPr="00E67C03">
              <w:rPr>
                <w:lang w:val="en-US"/>
              </w:rPr>
              <w:t>Steady, reflecting consistent rest patterns.</w:t>
            </w:r>
          </w:p>
        </w:tc>
      </w:tr>
      <w:tr w:rsidR="00E67C03" w:rsidRPr="00E67C03" w14:paraId="410258C4" w14:textId="77777777">
        <w:trPr>
          <w:tblCellSpacing w:w="15" w:type="dxa"/>
        </w:trPr>
        <w:tc>
          <w:tcPr>
            <w:tcW w:w="0" w:type="auto"/>
            <w:vAlign w:val="center"/>
            <w:hideMark/>
          </w:tcPr>
          <w:p w14:paraId="7692158F" w14:textId="77777777" w:rsidR="00E67C03" w:rsidRPr="00E67C03" w:rsidRDefault="00E67C03" w:rsidP="00E67C03">
            <w:pPr>
              <w:spacing w:after="0"/>
              <w:ind w:firstLine="709"/>
              <w:jc w:val="both"/>
              <w:rPr>
                <w:lang w:val="en-US"/>
              </w:rPr>
            </w:pPr>
            <w:r w:rsidRPr="00E67C03">
              <w:rPr>
                <w:lang w:val="en-US"/>
              </w:rPr>
              <w:t>CRP (Inflammation)</w:t>
            </w:r>
          </w:p>
        </w:tc>
        <w:tc>
          <w:tcPr>
            <w:tcW w:w="0" w:type="auto"/>
            <w:vAlign w:val="center"/>
            <w:hideMark/>
          </w:tcPr>
          <w:p w14:paraId="5D51FF7D" w14:textId="77777777" w:rsidR="00E67C03" w:rsidRPr="00E67C03" w:rsidRDefault="00E67C03" w:rsidP="00E67C03">
            <w:pPr>
              <w:spacing w:after="0"/>
              <w:ind w:firstLine="709"/>
              <w:jc w:val="both"/>
              <w:rPr>
                <w:lang w:val="en-US"/>
              </w:rPr>
            </w:pPr>
            <w:r w:rsidRPr="00E67C03">
              <w:rPr>
                <w:lang w:val="en-US"/>
              </w:rPr>
              <w:t>1.0 mg/L</w:t>
            </w:r>
          </w:p>
        </w:tc>
        <w:tc>
          <w:tcPr>
            <w:tcW w:w="0" w:type="auto"/>
            <w:vAlign w:val="center"/>
            <w:hideMark/>
          </w:tcPr>
          <w:p w14:paraId="2DC35805" w14:textId="77777777" w:rsidR="00E67C03" w:rsidRPr="00E67C03" w:rsidRDefault="00E67C03" w:rsidP="00E67C03">
            <w:pPr>
              <w:spacing w:after="0"/>
              <w:ind w:firstLine="709"/>
              <w:jc w:val="both"/>
              <w:rPr>
                <w:lang w:val="en-US"/>
              </w:rPr>
            </w:pPr>
            <w:r w:rsidRPr="00E67C03">
              <w:rPr>
                <w:lang w:val="en-US"/>
              </w:rPr>
              <w:t>&lt;3 mg/L</w:t>
            </w:r>
          </w:p>
        </w:tc>
        <w:tc>
          <w:tcPr>
            <w:tcW w:w="0" w:type="auto"/>
            <w:vAlign w:val="center"/>
            <w:hideMark/>
          </w:tcPr>
          <w:p w14:paraId="3A148A17" w14:textId="77777777" w:rsidR="00E67C03" w:rsidRPr="00E67C03" w:rsidRDefault="00E67C03" w:rsidP="00E67C03">
            <w:pPr>
              <w:spacing w:after="0"/>
              <w:ind w:firstLine="709"/>
              <w:jc w:val="both"/>
              <w:rPr>
                <w:lang w:val="en-US"/>
              </w:rPr>
            </w:pPr>
            <w:r w:rsidRPr="00E67C03">
              <w:rPr>
                <w:lang w:val="en-US"/>
              </w:rPr>
              <w:t>Low, no inflammation concerns.</w:t>
            </w:r>
          </w:p>
        </w:tc>
      </w:tr>
      <w:tr w:rsidR="00E67C03" w:rsidRPr="00E67C03" w14:paraId="0B45F221" w14:textId="77777777">
        <w:trPr>
          <w:tblCellSpacing w:w="15" w:type="dxa"/>
        </w:trPr>
        <w:tc>
          <w:tcPr>
            <w:tcW w:w="0" w:type="auto"/>
            <w:vAlign w:val="center"/>
            <w:hideMark/>
          </w:tcPr>
          <w:p w14:paraId="12142AD4" w14:textId="77777777" w:rsidR="00E67C03" w:rsidRPr="00E67C03" w:rsidRDefault="00E67C03" w:rsidP="00E67C03">
            <w:pPr>
              <w:spacing w:after="0"/>
              <w:ind w:firstLine="709"/>
              <w:jc w:val="both"/>
              <w:rPr>
                <w:lang w:val="en-US"/>
              </w:rPr>
            </w:pPr>
            <w:r w:rsidRPr="00E67C03">
              <w:rPr>
                <w:lang w:val="en-US"/>
              </w:rPr>
              <w:t>Weight</w:t>
            </w:r>
          </w:p>
        </w:tc>
        <w:tc>
          <w:tcPr>
            <w:tcW w:w="0" w:type="auto"/>
            <w:vAlign w:val="center"/>
            <w:hideMark/>
          </w:tcPr>
          <w:p w14:paraId="2ABBAF67" w14:textId="77777777" w:rsidR="00E67C03" w:rsidRPr="00E67C03" w:rsidRDefault="00E67C03" w:rsidP="00E67C03">
            <w:pPr>
              <w:spacing w:after="0"/>
              <w:ind w:firstLine="709"/>
              <w:jc w:val="both"/>
              <w:rPr>
                <w:lang w:val="en-US"/>
              </w:rPr>
            </w:pPr>
            <w:r w:rsidRPr="00E67C03">
              <w:rPr>
                <w:lang w:val="en-US"/>
              </w:rPr>
              <w:t>69.3 kg</w:t>
            </w:r>
          </w:p>
        </w:tc>
        <w:tc>
          <w:tcPr>
            <w:tcW w:w="0" w:type="auto"/>
            <w:vAlign w:val="center"/>
            <w:hideMark/>
          </w:tcPr>
          <w:p w14:paraId="7D44D895" w14:textId="77777777" w:rsidR="00E67C03" w:rsidRPr="00E67C03" w:rsidRDefault="00E67C03" w:rsidP="00E67C03">
            <w:pPr>
              <w:spacing w:after="0"/>
              <w:ind w:firstLine="709"/>
              <w:jc w:val="both"/>
              <w:rPr>
                <w:lang w:val="en-US"/>
              </w:rPr>
            </w:pPr>
            <w:r w:rsidRPr="00E67C03">
              <w:rPr>
                <w:lang w:val="en-US"/>
              </w:rPr>
              <w:t>—</w:t>
            </w:r>
          </w:p>
        </w:tc>
        <w:tc>
          <w:tcPr>
            <w:tcW w:w="0" w:type="auto"/>
            <w:vAlign w:val="center"/>
            <w:hideMark/>
          </w:tcPr>
          <w:p w14:paraId="5535C7FC" w14:textId="77777777" w:rsidR="00E67C03" w:rsidRPr="00E67C03" w:rsidRDefault="00E67C03" w:rsidP="00E67C03">
            <w:pPr>
              <w:spacing w:after="0"/>
              <w:ind w:firstLine="709"/>
              <w:jc w:val="both"/>
              <w:rPr>
                <w:lang w:val="en-US"/>
              </w:rPr>
            </w:pPr>
            <w:r w:rsidRPr="00E67C03">
              <w:rPr>
                <w:lang w:val="en-US"/>
              </w:rPr>
              <w:t>Stable with balanced nutrition.</w:t>
            </w:r>
          </w:p>
        </w:tc>
      </w:tr>
      <w:tr w:rsidR="00E67C03" w:rsidRPr="00E67C03" w14:paraId="7DF4C67E" w14:textId="77777777">
        <w:trPr>
          <w:tblCellSpacing w:w="15" w:type="dxa"/>
        </w:trPr>
        <w:tc>
          <w:tcPr>
            <w:tcW w:w="0" w:type="auto"/>
            <w:vAlign w:val="center"/>
            <w:hideMark/>
          </w:tcPr>
          <w:p w14:paraId="15669ED4" w14:textId="77777777" w:rsidR="00E67C03" w:rsidRPr="00E67C03" w:rsidRDefault="00E67C03" w:rsidP="00E67C03">
            <w:pPr>
              <w:spacing w:after="0"/>
              <w:ind w:firstLine="709"/>
              <w:jc w:val="both"/>
              <w:rPr>
                <w:lang w:val="en-US"/>
              </w:rPr>
            </w:pPr>
            <w:r w:rsidRPr="00E67C03">
              <w:rPr>
                <w:lang w:val="en-US"/>
              </w:rPr>
              <w:t>Mood Stability Index</w:t>
            </w:r>
          </w:p>
        </w:tc>
        <w:tc>
          <w:tcPr>
            <w:tcW w:w="0" w:type="auto"/>
            <w:vAlign w:val="center"/>
            <w:hideMark/>
          </w:tcPr>
          <w:p w14:paraId="1CE7DF65" w14:textId="77777777" w:rsidR="00E67C03" w:rsidRPr="00E67C03" w:rsidRDefault="00E67C03" w:rsidP="00E67C03">
            <w:pPr>
              <w:spacing w:after="0"/>
              <w:ind w:firstLine="709"/>
              <w:jc w:val="both"/>
              <w:rPr>
                <w:lang w:val="en-US"/>
              </w:rPr>
            </w:pPr>
            <w:r w:rsidRPr="00E67C03">
              <w:rPr>
                <w:lang w:val="en-US"/>
              </w:rPr>
              <w:t>8.2/10</w:t>
            </w:r>
          </w:p>
        </w:tc>
        <w:tc>
          <w:tcPr>
            <w:tcW w:w="0" w:type="auto"/>
            <w:vAlign w:val="center"/>
            <w:hideMark/>
          </w:tcPr>
          <w:p w14:paraId="0671D7E6" w14:textId="77777777" w:rsidR="00E67C03" w:rsidRPr="00E67C03" w:rsidRDefault="00E67C03" w:rsidP="00E67C03">
            <w:pPr>
              <w:spacing w:after="0"/>
              <w:ind w:firstLine="709"/>
              <w:jc w:val="both"/>
              <w:rPr>
                <w:lang w:val="en-US"/>
              </w:rPr>
            </w:pPr>
            <w:r w:rsidRPr="00E67C03">
              <w:rPr>
                <w:lang w:val="en-US"/>
              </w:rPr>
              <w:t>7–9 balanced</w:t>
            </w:r>
          </w:p>
        </w:tc>
        <w:tc>
          <w:tcPr>
            <w:tcW w:w="0" w:type="auto"/>
            <w:vAlign w:val="center"/>
            <w:hideMark/>
          </w:tcPr>
          <w:p w14:paraId="58743A7E" w14:textId="77777777" w:rsidR="00E67C03" w:rsidRPr="00E67C03" w:rsidRDefault="00E67C03" w:rsidP="00E67C03">
            <w:pPr>
              <w:spacing w:after="0"/>
              <w:ind w:firstLine="709"/>
              <w:jc w:val="both"/>
              <w:rPr>
                <w:lang w:val="en-US"/>
              </w:rPr>
            </w:pPr>
            <w:r w:rsidRPr="00E67C03">
              <w:rPr>
                <w:lang w:val="en-US"/>
              </w:rPr>
              <w:t>Boosted by confidence and peer mentoring.</w:t>
            </w:r>
          </w:p>
        </w:tc>
      </w:tr>
      <w:tr w:rsidR="00E67C03" w:rsidRPr="00E67C03" w14:paraId="030D1772" w14:textId="77777777">
        <w:trPr>
          <w:tblCellSpacing w:w="15" w:type="dxa"/>
        </w:trPr>
        <w:tc>
          <w:tcPr>
            <w:tcW w:w="0" w:type="auto"/>
            <w:vAlign w:val="center"/>
            <w:hideMark/>
          </w:tcPr>
          <w:p w14:paraId="326FBDFE" w14:textId="77777777" w:rsidR="00E67C03" w:rsidRPr="00E67C03" w:rsidRDefault="00E67C03" w:rsidP="00E67C03">
            <w:pPr>
              <w:spacing w:after="0"/>
              <w:ind w:firstLine="709"/>
              <w:jc w:val="both"/>
              <w:rPr>
                <w:lang w:val="en-US"/>
              </w:rPr>
            </w:pPr>
            <w:r w:rsidRPr="00E67C03">
              <w:rPr>
                <w:lang w:val="en-US"/>
              </w:rPr>
              <w:t>Training Compliance</w:t>
            </w:r>
          </w:p>
        </w:tc>
        <w:tc>
          <w:tcPr>
            <w:tcW w:w="0" w:type="auto"/>
            <w:vAlign w:val="center"/>
            <w:hideMark/>
          </w:tcPr>
          <w:p w14:paraId="03D89A9C" w14:textId="77777777" w:rsidR="00E67C03" w:rsidRPr="00E67C03" w:rsidRDefault="00E67C03" w:rsidP="00E67C03">
            <w:pPr>
              <w:spacing w:after="0"/>
              <w:ind w:firstLine="709"/>
              <w:jc w:val="both"/>
              <w:rPr>
                <w:lang w:val="en-US"/>
              </w:rPr>
            </w:pPr>
            <w:r w:rsidRPr="00E67C03">
              <w:rPr>
                <w:lang w:val="en-US"/>
              </w:rPr>
              <w:t>High</w:t>
            </w:r>
          </w:p>
        </w:tc>
        <w:tc>
          <w:tcPr>
            <w:tcW w:w="0" w:type="auto"/>
            <w:vAlign w:val="center"/>
            <w:hideMark/>
          </w:tcPr>
          <w:p w14:paraId="27B00447" w14:textId="77777777" w:rsidR="00E67C03" w:rsidRPr="00E67C03" w:rsidRDefault="00E67C03" w:rsidP="00E67C03">
            <w:pPr>
              <w:spacing w:after="0"/>
              <w:ind w:firstLine="709"/>
              <w:jc w:val="both"/>
              <w:rPr>
                <w:lang w:val="en-US"/>
              </w:rPr>
            </w:pPr>
            <w:r w:rsidRPr="00E67C03">
              <w:rPr>
                <w:lang w:val="en-US"/>
              </w:rPr>
              <w:t>—</w:t>
            </w:r>
          </w:p>
        </w:tc>
        <w:tc>
          <w:tcPr>
            <w:tcW w:w="0" w:type="auto"/>
            <w:vAlign w:val="center"/>
            <w:hideMark/>
          </w:tcPr>
          <w:p w14:paraId="26A0D4B6" w14:textId="77777777" w:rsidR="00E67C03" w:rsidRPr="00E67C03" w:rsidRDefault="00E67C03" w:rsidP="00E67C03">
            <w:pPr>
              <w:spacing w:after="0"/>
              <w:ind w:firstLine="709"/>
              <w:jc w:val="both"/>
              <w:rPr>
                <w:lang w:val="en-US"/>
              </w:rPr>
            </w:pPr>
            <w:r w:rsidRPr="00E67C03">
              <w:rPr>
                <w:lang w:val="en-US"/>
              </w:rPr>
              <w:t>Strong adherence to both training and logging routines.</w:t>
            </w:r>
          </w:p>
        </w:tc>
      </w:tr>
    </w:tbl>
    <w:p w14:paraId="54DD5B2A" w14:textId="77777777" w:rsidR="00F12C76" w:rsidRPr="00E67C03" w:rsidRDefault="00F12C76" w:rsidP="006C0B77">
      <w:pPr>
        <w:spacing w:after="0"/>
        <w:ind w:firstLine="709"/>
        <w:jc w:val="both"/>
        <w:rPr>
          <w:lang w:val="en-US"/>
        </w:rPr>
      </w:pPr>
    </w:p>
    <w:sectPr w:rsidR="00F12C76" w:rsidRPr="00E67C03"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C03"/>
    <w:rsid w:val="00413883"/>
    <w:rsid w:val="006C0B77"/>
    <w:rsid w:val="008242FF"/>
    <w:rsid w:val="00870751"/>
    <w:rsid w:val="00922C48"/>
    <w:rsid w:val="00B915B7"/>
    <w:rsid w:val="00D612F8"/>
    <w:rsid w:val="00E67C03"/>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ADECD"/>
  <w15:chartTrackingRefBased/>
  <w15:docId w15:val="{8A87D0E9-BFDB-4FDB-9DD8-AD6B5B06A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paragraph" w:styleId="Heading1">
    <w:name w:val="heading 1"/>
    <w:basedOn w:val="Normal"/>
    <w:next w:val="Normal"/>
    <w:link w:val="Heading1Char"/>
    <w:uiPriority w:val="9"/>
    <w:qFormat/>
    <w:rsid w:val="00E67C0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67C0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67C03"/>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Heading4">
    <w:name w:val="heading 4"/>
    <w:basedOn w:val="Normal"/>
    <w:next w:val="Normal"/>
    <w:link w:val="Heading4Char"/>
    <w:uiPriority w:val="9"/>
    <w:semiHidden/>
    <w:unhideWhenUsed/>
    <w:qFormat/>
    <w:rsid w:val="00E67C03"/>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67C03"/>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E67C0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67C0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67C0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67C0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C0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E67C0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67C03"/>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67C03"/>
    <w:rPr>
      <w:rFonts w:eastAsiaTheme="majorEastAsia" w:cstheme="majorBidi"/>
      <w:i/>
      <w:iCs/>
      <w:color w:val="2E74B5" w:themeColor="accent1" w:themeShade="BF"/>
      <w:sz w:val="28"/>
    </w:rPr>
  </w:style>
  <w:style w:type="character" w:customStyle="1" w:styleId="Heading5Char">
    <w:name w:val="Heading 5 Char"/>
    <w:basedOn w:val="DefaultParagraphFont"/>
    <w:link w:val="Heading5"/>
    <w:uiPriority w:val="9"/>
    <w:semiHidden/>
    <w:rsid w:val="00E67C03"/>
    <w:rPr>
      <w:rFonts w:eastAsiaTheme="majorEastAsia" w:cstheme="majorBidi"/>
      <w:color w:val="2E74B5" w:themeColor="accent1" w:themeShade="BF"/>
      <w:sz w:val="28"/>
    </w:rPr>
  </w:style>
  <w:style w:type="character" w:customStyle="1" w:styleId="Heading6Char">
    <w:name w:val="Heading 6 Char"/>
    <w:basedOn w:val="DefaultParagraphFont"/>
    <w:link w:val="Heading6"/>
    <w:uiPriority w:val="9"/>
    <w:semiHidden/>
    <w:rsid w:val="00E67C03"/>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E67C03"/>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E67C03"/>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E67C03"/>
    <w:rPr>
      <w:rFonts w:eastAsiaTheme="majorEastAsia" w:cstheme="majorBidi"/>
      <w:color w:val="272727" w:themeColor="text1" w:themeTint="D8"/>
      <w:sz w:val="28"/>
    </w:rPr>
  </w:style>
  <w:style w:type="paragraph" w:styleId="Title">
    <w:name w:val="Title"/>
    <w:basedOn w:val="Normal"/>
    <w:next w:val="Normal"/>
    <w:link w:val="TitleChar"/>
    <w:uiPriority w:val="10"/>
    <w:qFormat/>
    <w:rsid w:val="00E67C0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C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7C03"/>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E67C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7C03"/>
    <w:pPr>
      <w:spacing w:before="160"/>
      <w:jc w:val="center"/>
    </w:pPr>
    <w:rPr>
      <w:i/>
      <w:iCs/>
      <w:color w:val="404040" w:themeColor="text1" w:themeTint="BF"/>
    </w:rPr>
  </w:style>
  <w:style w:type="character" w:customStyle="1" w:styleId="QuoteChar">
    <w:name w:val="Quote Char"/>
    <w:basedOn w:val="DefaultParagraphFont"/>
    <w:link w:val="Quote"/>
    <w:uiPriority w:val="29"/>
    <w:rsid w:val="00E67C03"/>
    <w:rPr>
      <w:rFonts w:ascii="Times New Roman" w:hAnsi="Times New Roman"/>
      <w:i/>
      <w:iCs/>
      <w:color w:val="404040" w:themeColor="text1" w:themeTint="BF"/>
      <w:sz w:val="28"/>
    </w:rPr>
  </w:style>
  <w:style w:type="paragraph" w:styleId="ListParagraph">
    <w:name w:val="List Paragraph"/>
    <w:basedOn w:val="Normal"/>
    <w:uiPriority w:val="34"/>
    <w:qFormat/>
    <w:rsid w:val="00E67C03"/>
    <w:pPr>
      <w:ind w:left="720"/>
      <w:contextualSpacing/>
    </w:pPr>
  </w:style>
  <w:style w:type="character" w:styleId="IntenseEmphasis">
    <w:name w:val="Intense Emphasis"/>
    <w:basedOn w:val="DefaultParagraphFont"/>
    <w:uiPriority w:val="21"/>
    <w:qFormat/>
    <w:rsid w:val="00E67C03"/>
    <w:rPr>
      <w:i/>
      <w:iCs/>
      <w:color w:val="2E74B5" w:themeColor="accent1" w:themeShade="BF"/>
    </w:rPr>
  </w:style>
  <w:style w:type="paragraph" w:styleId="IntenseQuote">
    <w:name w:val="Intense Quote"/>
    <w:basedOn w:val="Normal"/>
    <w:next w:val="Normal"/>
    <w:link w:val="IntenseQuoteChar"/>
    <w:uiPriority w:val="30"/>
    <w:qFormat/>
    <w:rsid w:val="00E67C0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E67C03"/>
    <w:rPr>
      <w:rFonts w:ascii="Times New Roman" w:hAnsi="Times New Roman"/>
      <w:i/>
      <w:iCs/>
      <w:color w:val="2E74B5" w:themeColor="accent1" w:themeShade="BF"/>
      <w:sz w:val="28"/>
    </w:rPr>
  </w:style>
  <w:style w:type="character" w:styleId="IntenseReference">
    <w:name w:val="Intense Reference"/>
    <w:basedOn w:val="DefaultParagraphFont"/>
    <w:uiPriority w:val="32"/>
    <w:qFormat/>
    <w:rsid w:val="00E67C03"/>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376</Words>
  <Characters>2147</Characters>
  <Application>Microsoft Office Word</Application>
  <DocSecurity>0</DocSecurity>
  <Lines>17</Lines>
  <Paragraphs>5</Paragraphs>
  <ScaleCrop>false</ScaleCrop>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PAAVNI KHATTRI (24124032)</dc:creator>
  <cp:keywords/>
  <dc:description/>
  <cp:lastModifiedBy>PAAVNI KHATTRI (24124032)</cp:lastModifiedBy>
  <cp:revision>1</cp:revision>
  <dcterms:created xsi:type="dcterms:W3CDTF">2025-08-17T12:36:00Z</dcterms:created>
  <dcterms:modified xsi:type="dcterms:W3CDTF">2025-08-17T12:37:00Z</dcterms:modified>
</cp:coreProperties>
</file>