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8C260" w14:textId="77777777" w:rsidR="001E3BAD" w:rsidRPr="001E3BAD" w:rsidRDefault="001E3BAD" w:rsidP="001E3BAD">
      <w:pPr>
        <w:spacing w:after="0"/>
        <w:ind w:firstLine="709"/>
        <w:jc w:val="center"/>
        <w:rPr>
          <w:b/>
          <w:bCs/>
          <w:lang w:val="en-US"/>
        </w:rPr>
      </w:pPr>
      <w:r w:rsidRPr="001E3BAD">
        <w:rPr>
          <w:b/>
          <w:bCs/>
          <w:lang w:val="en-US"/>
        </w:rPr>
        <w:t>Week 26 – Blood Testing, Inflammation Monitoring, and Soreness Management</w:t>
      </w:r>
    </w:p>
    <w:p w14:paraId="3AE5C759" w14:textId="77777777" w:rsidR="001E3BAD" w:rsidRPr="001E3BAD" w:rsidRDefault="001E3BAD" w:rsidP="001E3BAD">
      <w:pPr>
        <w:spacing w:after="0"/>
        <w:ind w:firstLine="709"/>
        <w:jc w:val="both"/>
        <w:rPr>
          <w:lang w:val="en-US"/>
        </w:rPr>
      </w:pPr>
      <w:r w:rsidRPr="001E3BAD">
        <w:rPr>
          <w:b/>
          <w:bCs/>
          <w:lang w:val="en-US"/>
        </w:rPr>
        <w:t>Medical:</w:t>
      </w:r>
      <w:r w:rsidRPr="001E3BAD">
        <w:rPr>
          <w:lang w:val="en-US"/>
        </w:rPr>
        <w:br/>
        <w:t>This week centered around updated blood tests for Aarav. Dr. Patel carefully reviewed the results, noting markers of inflammation and recovery. Supplements were adjusted slightly to optimize immune response and muscle repair, ensuring no deficiencies contributed to his soreness. Emphasis was placed on monitoring CRP levels and ensuring recovery windows were respected.</w:t>
      </w:r>
    </w:p>
    <w:p w14:paraId="1C1D7F85" w14:textId="77777777" w:rsidR="001E3BAD" w:rsidRPr="001E3BAD" w:rsidRDefault="001E3BAD" w:rsidP="001E3BAD">
      <w:pPr>
        <w:spacing w:after="0"/>
        <w:ind w:firstLine="709"/>
        <w:jc w:val="both"/>
        <w:rPr>
          <w:lang w:val="en-US"/>
        </w:rPr>
      </w:pPr>
      <w:r w:rsidRPr="001E3BAD">
        <w:rPr>
          <w:b/>
          <w:bCs/>
          <w:lang w:val="en-US"/>
        </w:rPr>
        <w:t>Physio:</w:t>
      </w:r>
      <w:r w:rsidRPr="001E3BAD">
        <w:rPr>
          <w:lang w:val="en-US"/>
        </w:rPr>
        <w:br/>
        <w:t>Rachel adapted Aarav’s exercise plan to manage recurring soreness. She reduced load intensity, integrated low-impact cross-training options such as cycling and swimming, and emphasized mobility drills. These changes helped reduce strain while maintaining fitness. Regular feedback from Aarav guided session pacing.</w:t>
      </w:r>
    </w:p>
    <w:p w14:paraId="32B1D128" w14:textId="77777777" w:rsidR="001E3BAD" w:rsidRPr="001E3BAD" w:rsidRDefault="001E3BAD" w:rsidP="001E3BAD">
      <w:pPr>
        <w:spacing w:after="0"/>
        <w:ind w:firstLine="709"/>
        <w:jc w:val="both"/>
        <w:rPr>
          <w:lang w:val="en-US"/>
        </w:rPr>
      </w:pPr>
      <w:r w:rsidRPr="001E3BAD">
        <w:rPr>
          <w:b/>
          <w:bCs/>
          <w:lang w:val="en-US"/>
        </w:rPr>
        <w:t>Nutrition:</w:t>
      </w:r>
      <w:r w:rsidRPr="001E3BAD">
        <w:rPr>
          <w:lang w:val="en-US"/>
        </w:rPr>
        <w:br/>
        <w:t>Carla reinforced the importance of anti-inflammatory nutrition. Meals were enriched with omega-3 fatty acids (flaxseeds, fish, walnuts), antioxidants (berries, greens), and hydration-focused recovery drinks. Snacks were structured to stabilize energy while reducing systemic inflammation.</w:t>
      </w:r>
    </w:p>
    <w:p w14:paraId="6AB1BC14" w14:textId="77777777" w:rsidR="001E3BAD" w:rsidRPr="001E3BAD" w:rsidRDefault="001E3BAD" w:rsidP="001E3BAD">
      <w:pPr>
        <w:spacing w:after="0"/>
        <w:ind w:firstLine="709"/>
        <w:jc w:val="both"/>
        <w:rPr>
          <w:lang w:val="en-US"/>
        </w:rPr>
      </w:pPr>
      <w:r w:rsidRPr="001E3BAD">
        <w:rPr>
          <w:b/>
          <w:bCs/>
          <w:lang w:val="en-US"/>
        </w:rPr>
        <w:t>Mental Health:</w:t>
      </w:r>
      <w:r w:rsidRPr="001E3BAD">
        <w:rPr>
          <w:lang w:val="en-US"/>
        </w:rPr>
        <w:br/>
        <w:t>Dr. Isha continued stress management practices, emphasizing mindfulness and self-compassion during soreness. Peer mentors Neel and Rohan supported Aarav by sharing their own experiences with recovery setbacks, normalizing the process and reinforcing patience.</w:t>
      </w:r>
    </w:p>
    <w:p w14:paraId="3F892F38" w14:textId="77777777" w:rsidR="001E3BAD" w:rsidRPr="001E3BAD" w:rsidRDefault="001E3BAD" w:rsidP="001E3BAD">
      <w:pPr>
        <w:spacing w:after="0"/>
        <w:ind w:firstLine="709"/>
        <w:jc w:val="both"/>
        <w:rPr>
          <w:lang w:val="en-US"/>
        </w:rPr>
      </w:pPr>
      <w:r w:rsidRPr="001E3BAD">
        <w:rPr>
          <w:b/>
          <w:bCs/>
          <w:lang w:val="en-US"/>
        </w:rPr>
        <w:t>Engagement:</w:t>
      </w:r>
      <w:r w:rsidRPr="001E3BAD">
        <w:rPr>
          <w:lang w:val="en-US"/>
        </w:rPr>
        <w:br/>
        <w:t>Aarav maintained high compliance by tracking soreness, diet, and mood daily. The logs were reviewed in team check-ins, ensuring his concerns were addressed proactively.</w:t>
      </w:r>
    </w:p>
    <w:p w14:paraId="0CE55D06" w14:textId="77777777" w:rsidR="001E3BAD" w:rsidRPr="001E3BAD" w:rsidRDefault="001E3BAD" w:rsidP="001E3BAD">
      <w:pPr>
        <w:spacing w:after="0"/>
        <w:ind w:firstLine="709"/>
        <w:jc w:val="both"/>
        <w:rPr>
          <w:lang w:val="en-US"/>
        </w:rPr>
      </w:pPr>
      <w:r w:rsidRPr="001E3BAD">
        <w:rPr>
          <w:b/>
          <w:bCs/>
          <w:lang w:val="en-US"/>
        </w:rPr>
        <w:t>Overall:</w:t>
      </w:r>
      <w:r w:rsidRPr="001E3BAD">
        <w:rPr>
          <w:lang w:val="en-US"/>
        </w:rPr>
        <w:br/>
        <w:t>A medically focused week that prioritized inflammation monitoring and soreness management. Aarav balanced training, nutrition, and mental resilience, showing consistency even under physical stress.</w:t>
      </w:r>
    </w:p>
    <w:p w14:paraId="562E7550" w14:textId="77777777" w:rsidR="001E3BAD" w:rsidRPr="001E3BAD" w:rsidRDefault="001E3BAD" w:rsidP="001E3BAD">
      <w:pPr>
        <w:spacing w:after="0"/>
        <w:ind w:firstLine="709"/>
        <w:jc w:val="both"/>
        <w:rPr>
          <w:lang w:val="en-US"/>
        </w:rPr>
      </w:pPr>
      <w:r w:rsidRPr="001E3BAD">
        <w:rPr>
          <w:lang w:val="en-US"/>
        </w:rPr>
        <w:pict w14:anchorId="58C7551B">
          <v:rect id="_x0000_i1031" style="width:0;height:1.5pt" o:hralign="center" o:hrstd="t" o:hr="t" fillcolor="#a0a0a0" stroked="f"/>
        </w:pict>
      </w:r>
    </w:p>
    <w:p w14:paraId="4F575880" w14:textId="77777777" w:rsidR="001E3BAD" w:rsidRPr="001E3BAD" w:rsidRDefault="001E3BAD" w:rsidP="001E3BAD">
      <w:pPr>
        <w:spacing w:after="0"/>
        <w:ind w:firstLine="709"/>
        <w:jc w:val="both"/>
        <w:rPr>
          <w:b/>
          <w:bCs/>
          <w:lang w:val="en-US"/>
        </w:rPr>
      </w:pPr>
      <w:r w:rsidRPr="001E3BAD">
        <w:rPr>
          <w:b/>
          <w:bCs/>
          <w:lang w:val="en-US"/>
        </w:rPr>
        <w:t>Week 26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692"/>
        <w:gridCol w:w="1830"/>
        <w:gridCol w:w="3010"/>
      </w:tblGrid>
      <w:tr w:rsidR="001E3BAD" w:rsidRPr="001E3BAD" w14:paraId="1EFA111D" w14:textId="77777777">
        <w:trPr>
          <w:tblHeader/>
          <w:tblCellSpacing w:w="15" w:type="dxa"/>
        </w:trPr>
        <w:tc>
          <w:tcPr>
            <w:tcW w:w="0" w:type="auto"/>
            <w:vAlign w:val="center"/>
            <w:hideMark/>
          </w:tcPr>
          <w:p w14:paraId="64EB098E" w14:textId="77777777" w:rsidR="001E3BAD" w:rsidRPr="001E3BAD" w:rsidRDefault="001E3BAD" w:rsidP="001E3BAD">
            <w:pPr>
              <w:spacing w:after="0"/>
              <w:ind w:firstLine="709"/>
              <w:jc w:val="both"/>
              <w:rPr>
                <w:b/>
                <w:bCs/>
                <w:lang w:val="en-US"/>
              </w:rPr>
            </w:pPr>
            <w:r w:rsidRPr="001E3BAD">
              <w:rPr>
                <w:b/>
                <w:bCs/>
                <w:lang w:val="en-US"/>
              </w:rPr>
              <w:t>Test / Measure</w:t>
            </w:r>
          </w:p>
        </w:tc>
        <w:tc>
          <w:tcPr>
            <w:tcW w:w="0" w:type="auto"/>
            <w:vAlign w:val="center"/>
            <w:hideMark/>
          </w:tcPr>
          <w:p w14:paraId="27DA6B5F" w14:textId="77777777" w:rsidR="001E3BAD" w:rsidRPr="001E3BAD" w:rsidRDefault="001E3BAD" w:rsidP="001E3BAD">
            <w:pPr>
              <w:spacing w:after="0"/>
              <w:ind w:firstLine="709"/>
              <w:jc w:val="both"/>
              <w:rPr>
                <w:b/>
                <w:bCs/>
                <w:lang w:val="en-US"/>
              </w:rPr>
            </w:pPr>
            <w:r w:rsidRPr="001E3BAD">
              <w:rPr>
                <w:b/>
                <w:bCs/>
                <w:lang w:val="en-US"/>
              </w:rPr>
              <w:t>Value</w:t>
            </w:r>
          </w:p>
        </w:tc>
        <w:tc>
          <w:tcPr>
            <w:tcW w:w="0" w:type="auto"/>
            <w:vAlign w:val="center"/>
            <w:hideMark/>
          </w:tcPr>
          <w:p w14:paraId="0155ECBD" w14:textId="77777777" w:rsidR="001E3BAD" w:rsidRPr="001E3BAD" w:rsidRDefault="001E3BAD" w:rsidP="001E3BAD">
            <w:pPr>
              <w:spacing w:after="0"/>
              <w:ind w:firstLine="709"/>
              <w:jc w:val="both"/>
              <w:rPr>
                <w:b/>
                <w:bCs/>
                <w:lang w:val="en-US"/>
              </w:rPr>
            </w:pPr>
            <w:r w:rsidRPr="001E3BAD">
              <w:rPr>
                <w:b/>
                <w:bCs/>
                <w:lang w:val="en-US"/>
              </w:rPr>
              <w:t>Normal Range</w:t>
            </w:r>
          </w:p>
        </w:tc>
        <w:tc>
          <w:tcPr>
            <w:tcW w:w="0" w:type="auto"/>
            <w:vAlign w:val="center"/>
            <w:hideMark/>
          </w:tcPr>
          <w:p w14:paraId="5867BE3D" w14:textId="77777777" w:rsidR="001E3BAD" w:rsidRPr="001E3BAD" w:rsidRDefault="001E3BAD" w:rsidP="001E3BAD">
            <w:pPr>
              <w:spacing w:after="0"/>
              <w:ind w:firstLine="709"/>
              <w:jc w:val="both"/>
              <w:rPr>
                <w:b/>
                <w:bCs/>
                <w:lang w:val="en-US"/>
              </w:rPr>
            </w:pPr>
            <w:r w:rsidRPr="001E3BAD">
              <w:rPr>
                <w:b/>
                <w:bCs/>
                <w:lang w:val="en-US"/>
              </w:rPr>
              <w:t>Comments</w:t>
            </w:r>
          </w:p>
        </w:tc>
      </w:tr>
      <w:tr w:rsidR="001E3BAD" w:rsidRPr="001E3BAD" w14:paraId="401086FB" w14:textId="77777777">
        <w:trPr>
          <w:tblCellSpacing w:w="15" w:type="dxa"/>
        </w:trPr>
        <w:tc>
          <w:tcPr>
            <w:tcW w:w="0" w:type="auto"/>
            <w:vAlign w:val="center"/>
            <w:hideMark/>
          </w:tcPr>
          <w:p w14:paraId="7A6F5A80" w14:textId="77777777" w:rsidR="001E3BAD" w:rsidRPr="001E3BAD" w:rsidRDefault="001E3BAD" w:rsidP="001E3BAD">
            <w:pPr>
              <w:spacing w:after="0"/>
              <w:ind w:firstLine="709"/>
              <w:jc w:val="both"/>
              <w:rPr>
                <w:lang w:val="en-US"/>
              </w:rPr>
            </w:pPr>
            <w:r w:rsidRPr="001E3BAD">
              <w:rPr>
                <w:lang w:val="en-US"/>
              </w:rPr>
              <w:t>Hemoglobin</w:t>
            </w:r>
          </w:p>
        </w:tc>
        <w:tc>
          <w:tcPr>
            <w:tcW w:w="0" w:type="auto"/>
            <w:vAlign w:val="center"/>
            <w:hideMark/>
          </w:tcPr>
          <w:p w14:paraId="1CEFDFF5" w14:textId="77777777" w:rsidR="001E3BAD" w:rsidRPr="001E3BAD" w:rsidRDefault="001E3BAD" w:rsidP="001E3BAD">
            <w:pPr>
              <w:spacing w:after="0"/>
              <w:ind w:firstLine="709"/>
              <w:jc w:val="both"/>
              <w:rPr>
                <w:lang w:val="en-US"/>
              </w:rPr>
            </w:pPr>
            <w:r w:rsidRPr="001E3BAD">
              <w:rPr>
                <w:lang w:val="en-US"/>
              </w:rPr>
              <w:t>14.4 g/dL</w:t>
            </w:r>
          </w:p>
        </w:tc>
        <w:tc>
          <w:tcPr>
            <w:tcW w:w="0" w:type="auto"/>
            <w:vAlign w:val="center"/>
            <w:hideMark/>
          </w:tcPr>
          <w:p w14:paraId="396F6C6E" w14:textId="77777777" w:rsidR="001E3BAD" w:rsidRPr="001E3BAD" w:rsidRDefault="001E3BAD" w:rsidP="001E3BAD">
            <w:pPr>
              <w:spacing w:after="0"/>
              <w:ind w:firstLine="709"/>
              <w:jc w:val="both"/>
              <w:rPr>
                <w:lang w:val="en-US"/>
              </w:rPr>
            </w:pPr>
            <w:r w:rsidRPr="001E3BAD">
              <w:rPr>
                <w:lang w:val="en-US"/>
              </w:rPr>
              <w:t>13.5–17.5 g/dL</w:t>
            </w:r>
          </w:p>
        </w:tc>
        <w:tc>
          <w:tcPr>
            <w:tcW w:w="0" w:type="auto"/>
            <w:vAlign w:val="center"/>
            <w:hideMark/>
          </w:tcPr>
          <w:p w14:paraId="029F9B2C" w14:textId="77777777" w:rsidR="001E3BAD" w:rsidRPr="001E3BAD" w:rsidRDefault="001E3BAD" w:rsidP="001E3BAD">
            <w:pPr>
              <w:spacing w:after="0"/>
              <w:ind w:firstLine="709"/>
              <w:jc w:val="both"/>
              <w:rPr>
                <w:lang w:val="en-US"/>
              </w:rPr>
            </w:pPr>
            <w:r w:rsidRPr="001E3BAD">
              <w:rPr>
                <w:lang w:val="en-US"/>
              </w:rPr>
              <w:t>Stable; no anemia detected.</w:t>
            </w:r>
          </w:p>
        </w:tc>
      </w:tr>
      <w:tr w:rsidR="001E3BAD" w:rsidRPr="001E3BAD" w14:paraId="3D08B6B1" w14:textId="77777777">
        <w:trPr>
          <w:tblCellSpacing w:w="15" w:type="dxa"/>
        </w:trPr>
        <w:tc>
          <w:tcPr>
            <w:tcW w:w="0" w:type="auto"/>
            <w:vAlign w:val="center"/>
            <w:hideMark/>
          </w:tcPr>
          <w:p w14:paraId="5517142A" w14:textId="77777777" w:rsidR="001E3BAD" w:rsidRPr="001E3BAD" w:rsidRDefault="001E3BAD" w:rsidP="001E3BAD">
            <w:pPr>
              <w:spacing w:after="0"/>
              <w:ind w:firstLine="709"/>
              <w:jc w:val="both"/>
              <w:rPr>
                <w:lang w:val="en-US"/>
              </w:rPr>
            </w:pPr>
            <w:r w:rsidRPr="001E3BAD">
              <w:rPr>
                <w:lang w:val="en-US"/>
              </w:rPr>
              <w:t>Iron (Serum Ferritin)</w:t>
            </w:r>
          </w:p>
        </w:tc>
        <w:tc>
          <w:tcPr>
            <w:tcW w:w="0" w:type="auto"/>
            <w:vAlign w:val="center"/>
            <w:hideMark/>
          </w:tcPr>
          <w:p w14:paraId="716D7CF3" w14:textId="77777777" w:rsidR="001E3BAD" w:rsidRPr="001E3BAD" w:rsidRDefault="001E3BAD" w:rsidP="001E3BAD">
            <w:pPr>
              <w:spacing w:after="0"/>
              <w:ind w:firstLine="709"/>
              <w:jc w:val="both"/>
              <w:rPr>
                <w:lang w:val="en-US"/>
              </w:rPr>
            </w:pPr>
            <w:r w:rsidRPr="001E3BAD">
              <w:rPr>
                <w:lang w:val="en-US"/>
              </w:rPr>
              <w:t>88 ng/mL</w:t>
            </w:r>
          </w:p>
        </w:tc>
        <w:tc>
          <w:tcPr>
            <w:tcW w:w="0" w:type="auto"/>
            <w:vAlign w:val="center"/>
            <w:hideMark/>
          </w:tcPr>
          <w:p w14:paraId="105F737C" w14:textId="77777777" w:rsidR="001E3BAD" w:rsidRPr="001E3BAD" w:rsidRDefault="001E3BAD" w:rsidP="001E3BAD">
            <w:pPr>
              <w:spacing w:after="0"/>
              <w:ind w:firstLine="709"/>
              <w:jc w:val="both"/>
              <w:rPr>
                <w:lang w:val="en-US"/>
              </w:rPr>
            </w:pPr>
            <w:r w:rsidRPr="001E3BAD">
              <w:rPr>
                <w:lang w:val="en-US"/>
              </w:rPr>
              <w:t>30–300 ng/mL</w:t>
            </w:r>
          </w:p>
        </w:tc>
        <w:tc>
          <w:tcPr>
            <w:tcW w:w="0" w:type="auto"/>
            <w:vAlign w:val="center"/>
            <w:hideMark/>
          </w:tcPr>
          <w:p w14:paraId="38DE239B" w14:textId="77777777" w:rsidR="001E3BAD" w:rsidRPr="001E3BAD" w:rsidRDefault="001E3BAD" w:rsidP="001E3BAD">
            <w:pPr>
              <w:spacing w:after="0"/>
              <w:ind w:firstLine="709"/>
              <w:jc w:val="both"/>
              <w:rPr>
                <w:lang w:val="en-US"/>
              </w:rPr>
            </w:pPr>
            <w:r w:rsidRPr="001E3BAD">
              <w:rPr>
                <w:lang w:val="en-US"/>
              </w:rPr>
              <w:t>Within range, supporting recovery.</w:t>
            </w:r>
          </w:p>
        </w:tc>
      </w:tr>
      <w:tr w:rsidR="001E3BAD" w:rsidRPr="001E3BAD" w14:paraId="58797598" w14:textId="77777777">
        <w:trPr>
          <w:tblCellSpacing w:w="15" w:type="dxa"/>
        </w:trPr>
        <w:tc>
          <w:tcPr>
            <w:tcW w:w="0" w:type="auto"/>
            <w:vAlign w:val="center"/>
            <w:hideMark/>
          </w:tcPr>
          <w:p w14:paraId="125585C9" w14:textId="77777777" w:rsidR="001E3BAD" w:rsidRPr="001E3BAD" w:rsidRDefault="001E3BAD" w:rsidP="001E3BAD">
            <w:pPr>
              <w:spacing w:after="0"/>
              <w:ind w:firstLine="709"/>
              <w:jc w:val="both"/>
              <w:rPr>
                <w:lang w:val="en-US"/>
              </w:rPr>
            </w:pPr>
            <w:r w:rsidRPr="001E3BAD">
              <w:rPr>
                <w:lang w:val="en-US"/>
              </w:rPr>
              <w:t>Vitamin D (25-OH)</w:t>
            </w:r>
          </w:p>
        </w:tc>
        <w:tc>
          <w:tcPr>
            <w:tcW w:w="0" w:type="auto"/>
            <w:vAlign w:val="center"/>
            <w:hideMark/>
          </w:tcPr>
          <w:p w14:paraId="75FA2F8E" w14:textId="77777777" w:rsidR="001E3BAD" w:rsidRPr="001E3BAD" w:rsidRDefault="001E3BAD" w:rsidP="001E3BAD">
            <w:pPr>
              <w:spacing w:after="0"/>
              <w:ind w:firstLine="709"/>
              <w:jc w:val="both"/>
              <w:rPr>
                <w:lang w:val="en-US"/>
              </w:rPr>
            </w:pPr>
            <w:r w:rsidRPr="001E3BAD">
              <w:rPr>
                <w:lang w:val="en-US"/>
              </w:rPr>
              <w:t>34 ng/mL</w:t>
            </w:r>
          </w:p>
        </w:tc>
        <w:tc>
          <w:tcPr>
            <w:tcW w:w="0" w:type="auto"/>
            <w:vAlign w:val="center"/>
            <w:hideMark/>
          </w:tcPr>
          <w:p w14:paraId="19FF5BFD" w14:textId="77777777" w:rsidR="001E3BAD" w:rsidRPr="001E3BAD" w:rsidRDefault="001E3BAD" w:rsidP="001E3BAD">
            <w:pPr>
              <w:spacing w:after="0"/>
              <w:ind w:firstLine="709"/>
              <w:jc w:val="both"/>
              <w:rPr>
                <w:lang w:val="en-US"/>
              </w:rPr>
            </w:pPr>
            <w:r w:rsidRPr="001E3BAD">
              <w:rPr>
                <w:lang w:val="en-US"/>
              </w:rPr>
              <w:t>30–100 ng/mL</w:t>
            </w:r>
          </w:p>
        </w:tc>
        <w:tc>
          <w:tcPr>
            <w:tcW w:w="0" w:type="auto"/>
            <w:vAlign w:val="center"/>
            <w:hideMark/>
          </w:tcPr>
          <w:p w14:paraId="7478C70F" w14:textId="77777777" w:rsidR="001E3BAD" w:rsidRPr="001E3BAD" w:rsidRDefault="001E3BAD" w:rsidP="001E3BAD">
            <w:pPr>
              <w:spacing w:after="0"/>
              <w:ind w:firstLine="709"/>
              <w:jc w:val="both"/>
              <w:rPr>
                <w:lang w:val="en-US"/>
              </w:rPr>
            </w:pPr>
            <w:r w:rsidRPr="001E3BAD">
              <w:rPr>
                <w:lang w:val="en-US"/>
              </w:rPr>
              <w:t>Improved slightly from prior levels.</w:t>
            </w:r>
          </w:p>
        </w:tc>
      </w:tr>
      <w:tr w:rsidR="001E3BAD" w:rsidRPr="001E3BAD" w14:paraId="413833A3" w14:textId="77777777">
        <w:trPr>
          <w:tblCellSpacing w:w="15" w:type="dxa"/>
        </w:trPr>
        <w:tc>
          <w:tcPr>
            <w:tcW w:w="0" w:type="auto"/>
            <w:vAlign w:val="center"/>
            <w:hideMark/>
          </w:tcPr>
          <w:p w14:paraId="46A13ED5" w14:textId="77777777" w:rsidR="001E3BAD" w:rsidRPr="001E3BAD" w:rsidRDefault="001E3BAD" w:rsidP="001E3BAD">
            <w:pPr>
              <w:spacing w:after="0"/>
              <w:ind w:firstLine="709"/>
              <w:jc w:val="both"/>
              <w:rPr>
                <w:lang w:val="en-US"/>
              </w:rPr>
            </w:pPr>
            <w:r w:rsidRPr="001E3BAD">
              <w:rPr>
                <w:lang w:val="en-US"/>
              </w:rPr>
              <w:t>Blood Pressure</w:t>
            </w:r>
          </w:p>
        </w:tc>
        <w:tc>
          <w:tcPr>
            <w:tcW w:w="0" w:type="auto"/>
            <w:vAlign w:val="center"/>
            <w:hideMark/>
          </w:tcPr>
          <w:p w14:paraId="32F43976" w14:textId="77777777" w:rsidR="001E3BAD" w:rsidRPr="001E3BAD" w:rsidRDefault="001E3BAD" w:rsidP="001E3BAD">
            <w:pPr>
              <w:spacing w:after="0"/>
              <w:ind w:firstLine="709"/>
              <w:jc w:val="both"/>
              <w:rPr>
                <w:lang w:val="en-US"/>
              </w:rPr>
            </w:pPr>
            <w:r w:rsidRPr="001E3BAD">
              <w:rPr>
                <w:lang w:val="en-US"/>
              </w:rPr>
              <w:t>115/74 mmHg</w:t>
            </w:r>
          </w:p>
        </w:tc>
        <w:tc>
          <w:tcPr>
            <w:tcW w:w="0" w:type="auto"/>
            <w:vAlign w:val="center"/>
            <w:hideMark/>
          </w:tcPr>
          <w:p w14:paraId="5E4D33AA" w14:textId="77777777" w:rsidR="001E3BAD" w:rsidRPr="001E3BAD" w:rsidRDefault="001E3BAD" w:rsidP="001E3BAD">
            <w:pPr>
              <w:spacing w:after="0"/>
              <w:ind w:firstLine="709"/>
              <w:jc w:val="both"/>
              <w:rPr>
                <w:lang w:val="en-US"/>
              </w:rPr>
            </w:pPr>
            <w:r w:rsidRPr="001E3BAD">
              <w:rPr>
                <w:lang w:val="en-US"/>
              </w:rPr>
              <w:t>110–120/70–80</w:t>
            </w:r>
          </w:p>
        </w:tc>
        <w:tc>
          <w:tcPr>
            <w:tcW w:w="0" w:type="auto"/>
            <w:vAlign w:val="center"/>
            <w:hideMark/>
          </w:tcPr>
          <w:p w14:paraId="52C3EBC1" w14:textId="77777777" w:rsidR="001E3BAD" w:rsidRPr="001E3BAD" w:rsidRDefault="001E3BAD" w:rsidP="001E3BAD">
            <w:pPr>
              <w:spacing w:after="0"/>
              <w:ind w:firstLine="709"/>
              <w:jc w:val="both"/>
              <w:rPr>
                <w:lang w:val="en-US"/>
              </w:rPr>
            </w:pPr>
            <w:r w:rsidRPr="001E3BAD">
              <w:rPr>
                <w:lang w:val="en-US"/>
              </w:rPr>
              <w:t>Normal and steady.</w:t>
            </w:r>
          </w:p>
        </w:tc>
      </w:tr>
      <w:tr w:rsidR="001E3BAD" w:rsidRPr="001E3BAD" w14:paraId="799C948E" w14:textId="77777777">
        <w:trPr>
          <w:tblCellSpacing w:w="15" w:type="dxa"/>
        </w:trPr>
        <w:tc>
          <w:tcPr>
            <w:tcW w:w="0" w:type="auto"/>
            <w:vAlign w:val="center"/>
            <w:hideMark/>
          </w:tcPr>
          <w:p w14:paraId="2421DCF7" w14:textId="77777777" w:rsidR="001E3BAD" w:rsidRPr="001E3BAD" w:rsidRDefault="001E3BAD" w:rsidP="001E3BAD">
            <w:pPr>
              <w:spacing w:after="0"/>
              <w:ind w:firstLine="709"/>
              <w:jc w:val="both"/>
              <w:rPr>
                <w:lang w:val="en-US"/>
              </w:rPr>
            </w:pPr>
            <w:r w:rsidRPr="001E3BAD">
              <w:rPr>
                <w:lang w:val="en-US"/>
              </w:rPr>
              <w:lastRenderedPageBreak/>
              <w:t>Resting Heart Rate</w:t>
            </w:r>
          </w:p>
        </w:tc>
        <w:tc>
          <w:tcPr>
            <w:tcW w:w="0" w:type="auto"/>
            <w:vAlign w:val="center"/>
            <w:hideMark/>
          </w:tcPr>
          <w:p w14:paraId="4226C706" w14:textId="77777777" w:rsidR="001E3BAD" w:rsidRPr="001E3BAD" w:rsidRDefault="001E3BAD" w:rsidP="001E3BAD">
            <w:pPr>
              <w:spacing w:after="0"/>
              <w:ind w:firstLine="709"/>
              <w:jc w:val="both"/>
              <w:rPr>
                <w:lang w:val="en-US"/>
              </w:rPr>
            </w:pPr>
            <w:r w:rsidRPr="001E3BAD">
              <w:rPr>
                <w:lang w:val="en-US"/>
              </w:rPr>
              <w:t>64 bpm</w:t>
            </w:r>
          </w:p>
        </w:tc>
        <w:tc>
          <w:tcPr>
            <w:tcW w:w="0" w:type="auto"/>
            <w:vAlign w:val="center"/>
            <w:hideMark/>
          </w:tcPr>
          <w:p w14:paraId="64ADFC1B" w14:textId="77777777" w:rsidR="001E3BAD" w:rsidRPr="001E3BAD" w:rsidRDefault="001E3BAD" w:rsidP="001E3BAD">
            <w:pPr>
              <w:spacing w:after="0"/>
              <w:ind w:firstLine="709"/>
              <w:jc w:val="both"/>
              <w:rPr>
                <w:lang w:val="en-US"/>
              </w:rPr>
            </w:pPr>
            <w:r w:rsidRPr="001E3BAD">
              <w:rPr>
                <w:lang w:val="en-US"/>
              </w:rPr>
              <w:t>50–70 bpm</w:t>
            </w:r>
          </w:p>
        </w:tc>
        <w:tc>
          <w:tcPr>
            <w:tcW w:w="0" w:type="auto"/>
            <w:vAlign w:val="center"/>
            <w:hideMark/>
          </w:tcPr>
          <w:p w14:paraId="01AD8A3A" w14:textId="77777777" w:rsidR="001E3BAD" w:rsidRPr="001E3BAD" w:rsidRDefault="001E3BAD" w:rsidP="001E3BAD">
            <w:pPr>
              <w:spacing w:after="0"/>
              <w:ind w:firstLine="709"/>
              <w:jc w:val="both"/>
              <w:rPr>
                <w:lang w:val="en-US"/>
              </w:rPr>
            </w:pPr>
            <w:r w:rsidRPr="001E3BAD">
              <w:rPr>
                <w:lang w:val="en-US"/>
              </w:rPr>
              <w:t>Slightly lower, indicating good adaptation.</w:t>
            </w:r>
          </w:p>
        </w:tc>
      </w:tr>
      <w:tr w:rsidR="001E3BAD" w:rsidRPr="001E3BAD" w14:paraId="3C72625E" w14:textId="77777777">
        <w:trPr>
          <w:tblCellSpacing w:w="15" w:type="dxa"/>
        </w:trPr>
        <w:tc>
          <w:tcPr>
            <w:tcW w:w="0" w:type="auto"/>
            <w:vAlign w:val="center"/>
            <w:hideMark/>
          </w:tcPr>
          <w:p w14:paraId="06FC025A" w14:textId="77777777" w:rsidR="001E3BAD" w:rsidRPr="001E3BAD" w:rsidRDefault="001E3BAD" w:rsidP="001E3BAD">
            <w:pPr>
              <w:spacing w:after="0"/>
              <w:ind w:firstLine="709"/>
              <w:jc w:val="both"/>
              <w:rPr>
                <w:lang w:val="en-US"/>
              </w:rPr>
            </w:pPr>
            <w:r w:rsidRPr="001E3BAD">
              <w:rPr>
                <w:lang w:val="en-US"/>
              </w:rPr>
              <w:t>CRP (Inflammation)</w:t>
            </w:r>
          </w:p>
        </w:tc>
        <w:tc>
          <w:tcPr>
            <w:tcW w:w="0" w:type="auto"/>
            <w:vAlign w:val="center"/>
            <w:hideMark/>
          </w:tcPr>
          <w:p w14:paraId="0CF2FD5B" w14:textId="77777777" w:rsidR="001E3BAD" w:rsidRPr="001E3BAD" w:rsidRDefault="001E3BAD" w:rsidP="001E3BAD">
            <w:pPr>
              <w:spacing w:after="0"/>
              <w:ind w:firstLine="709"/>
              <w:jc w:val="both"/>
              <w:rPr>
                <w:lang w:val="en-US"/>
              </w:rPr>
            </w:pPr>
            <w:r w:rsidRPr="001E3BAD">
              <w:rPr>
                <w:lang w:val="en-US"/>
              </w:rPr>
              <w:t>2.1 mg/L</w:t>
            </w:r>
          </w:p>
        </w:tc>
        <w:tc>
          <w:tcPr>
            <w:tcW w:w="0" w:type="auto"/>
            <w:vAlign w:val="center"/>
            <w:hideMark/>
          </w:tcPr>
          <w:p w14:paraId="60EE4A8C" w14:textId="77777777" w:rsidR="001E3BAD" w:rsidRPr="001E3BAD" w:rsidRDefault="001E3BAD" w:rsidP="001E3BAD">
            <w:pPr>
              <w:spacing w:after="0"/>
              <w:ind w:firstLine="709"/>
              <w:jc w:val="both"/>
              <w:rPr>
                <w:lang w:val="en-US"/>
              </w:rPr>
            </w:pPr>
            <w:r w:rsidRPr="001E3BAD">
              <w:rPr>
                <w:lang w:val="en-US"/>
              </w:rPr>
              <w:t>&lt;3 mg/L</w:t>
            </w:r>
          </w:p>
        </w:tc>
        <w:tc>
          <w:tcPr>
            <w:tcW w:w="0" w:type="auto"/>
            <w:vAlign w:val="center"/>
            <w:hideMark/>
          </w:tcPr>
          <w:p w14:paraId="30AEC96F" w14:textId="77777777" w:rsidR="001E3BAD" w:rsidRPr="001E3BAD" w:rsidRDefault="001E3BAD" w:rsidP="001E3BAD">
            <w:pPr>
              <w:spacing w:after="0"/>
              <w:ind w:firstLine="709"/>
              <w:jc w:val="both"/>
              <w:rPr>
                <w:lang w:val="en-US"/>
              </w:rPr>
            </w:pPr>
            <w:r w:rsidRPr="001E3BAD">
              <w:rPr>
                <w:lang w:val="en-US"/>
              </w:rPr>
              <w:t>Elevated but within acceptable limits; monitored closely.</w:t>
            </w:r>
          </w:p>
        </w:tc>
      </w:tr>
      <w:tr w:rsidR="001E3BAD" w:rsidRPr="001E3BAD" w14:paraId="2299D637" w14:textId="77777777">
        <w:trPr>
          <w:tblCellSpacing w:w="15" w:type="dxa"/>
        </w:trPr>
        <w:tc>
          <w:tcPr>
            <w:tcW w:w="0" w:type="auto"/>
            <w:vAlign w:val="center"/>
            <w:hideMark/>
          </w:tcPr>
          <w:p w14:paraId="0B348F16" w14:textId="77777777" w:rsidR="001E3BAD" w:rsidRPr="001E3BAD" w:rsidRDefault="001E3BAD" w:rsidP="001E3BAD">
            <w:pPr>
              <w:spacing w:after="0"/>
              <w:ind w:firstLine="709"/>
              <w:jc w:val="both"/>
              <w:rPr>
                <w:lang w:val="en-US"/>
              </w:rPr>
            </w:pPr>
            <w:r w:rsidRPr="001E3BAD">
              <w:rPr>
                <w:lang w:val="en-US"/>
              </w:rPr>
              <w:t>Creatine Kinase (Muscle)</w:t>
            </w:r>
          </w:p>
        </w:tc>
        <w:tc>
          <w:tcPr>
            <w:tcW w:w="0" w:type="auto"/>
            <w:vAlign w:val="center"/>
            <w:hideMark/>
          </w:tcPr>
          <w:p w14:paraId="7A61F7C9" w14:textId="77777777" w:rsidR="001E3BAD" w:rsidRPr="001E3BAD" w:rsidRDefault="001E3BAD" w:rsidP="001E3BAD">
            <w:pPr>
              <w:spacing w:after="0"/>
              <w:ind w:firstLine="709"/>
              <w:jc w:val="both"/>
              <w:rPr>
                <w:lang w:val="en-US"/>
              </w:rPr>
            </w:pPr>
            <w:r w:rsidRPr="001E3BAD">
              <w:rPr>
                <w:lang w:val="en-US"/>
              </w:rPr>
              <w:t>240 U/L</w:t>
            </w:r>
          </w:p>
        </w:tc>
        <w:tc>
          <w:tcPr>
            <w:tcW w:w="0" w:type="auto"/>
            <w:vAlign w:val="center"/>
            <w:hideMark/>
          </w:tcPr>
          <w:p w14:paraId="1B6BCE16" w14:textId="77777777" w:rsidR="001E3BAD" w:rsidRPr="001E3BAD" w:rsidRDefault="001E3BAD" w:rsidP="001E3BAD">
            <w:pPr>
              <w:spacing w:after="0"/>
              <w:ind w:firstLine="709"/>
              <w:jc w:val="both"/>
              <w:rPr>
                <w:lang w:val="en-US"/>
              </w:rPr>
            </w:pPr>
            <w:r w:rsidRPr="001E3BAD">
              <w:rPr>
                <w:lang w:val="en-US"/>
              </w:rPr>
              <w:t>&lt;200–250 U/L</w:t>
            </w:r>
          </w:p>
        </w:tc>
        <w:tc>
          <w:tcPr>
            <w:tcW w:w="0" w:type="auto"/>
            <w:vAlign w:val="center"/>
            <w:hideMark/>
          </w:tcPr>
          <w:p w14:paraId="11CDE368" w14:textId="77777777" w:rsidR="001E3BAD" w:rsidRPr="001E3BAD" w:rsidRDefault="001E3BAD" w:rsidP="001E3BAD">
            <w:pPr>
              <w:spacing w:after="0"/>
              <w:ind w:firstLine="709"/>
              <w:jc w:val="both"/>
              <w:rPr>
                <w:lang w:val="en-US"/>
              </w:rPr>
            </w:pPr>
            <w:r w:rsidRPr="001E3BAD">
              <w:rPr>
                <w:lang w:val="en-US"/>
              </w:rPr>
              <w:t>Mildly elevated due to muscle soreness; reduced with rest.</w:t>
            </w:r>
          </w:p>
        </w:tc>
      </w:tr>
      <w:tr w:rsidR="001E3BAD" w:rsidRPr="001E3BAD" w14:paraId="1E3C7611" w14:textId="77777777">
        <w:trPr>
          <w:tblCellSpacing w:w="15" w:type="dxa"/>
        </w:trPr>
        <w:tc>
          <w:tcPr>
            <w:tcW w:w="0" w:type="auto"/>
            <w:vAlign w:val="center"/>
            <w:hideMark/>
          </w:tcPr>
          <w:p w14:paraId="02BBAFC3" w14:textId="77777777" w:rsidR="001E3BAD" w:rsidRPr="001E3BAD" w:rsidRDefault="001E3BAD" w:rsidP="001E3BAD">
            <w:pPr>
              <w:spacing w:after="0"/>
              <w:ind w:firstLine="709"/>
              <w:jc w:val="both"/>
              <w:rPr>
                <w:lang w:val="en-US"/>
              </w:rPr>
            </w:pPr>
            <w:r w:rsidRPr="001E3BAD">
              <w:rPr>
                <w:lang w:val="en-US"/>
              </w:rPr>
              <w:t>Agility/Balance Score</w:t>
            </w:r>
          </w:p>
        </w:tc>
        <w:tc>
          <w:tcPr>
            <w:tcW w:w="0" w:type="auto"/>
            <w:vAlign w:val="center"/>
            <w:hideMark/>
          </w:tcPr>
          <w:p w14:paraId="75526CA8" w14:textId="77777777" w:rsidR="001E3BAD" w:rsidRPr="001E3BAD" w:rsidRDefault="001E3BAD" w:rsidP="001E3BAD">
            <w:pPr>
              <w:spacing w:after="0"/>
              <w:ind w:firstLine="709"/>
              <w:jc w:val="both"/>
              <w:rPr>
                <w:lang w:val="en-US"/>
              </w:rPr>
            </w:pPr>
            <w:r w:rsidRPr="001E3BAD">
              <w:rPr>
                <w:lang w:val="en-US"/>
              </w:rPr>
              <w:t>7.7/10</w:t>
            </w:r>
          </w:p>
        </w:tc>
        <w:tc>
          <w:tcPr>
            <w:tcW w:w="0" w:type="auto"/>
            <w:vAlign w:val="center"/>
            <w:hideMark/>
          </w:tcPr>
          <w:p w14:paraId="761F584D" w14:textId="77777777" w:rsidR="001E3BAD" w:rsidRPr="001E3BAD" w:rsidRDefault="001E3BAD" w:rsidP="001E3BAD">
            <w:pPr>
              <w:spacing w:after="0"/>
              <w:ind w:firstLine="709"/>
              <w:jc w:val="both"/>
              <w:rPr>
                <w:lang w:val="en-US"/>
              </w:rPr>
            </w:pPr>
            <w:r w:rsidRPr="001E3BAD">
              <w:rPr>
                <w:lang w:val="en-US"/>
              </w:rPr>
              <w:t>7–9 balanced</w:t>
            </w:r>
          </w:p>
        </w:tc>
        <w:tc>
          <w:tcPr>
            <w:tcW w:w="0" w:type="auto"/>
            <w:vAlign w:val="center"/>
            <w:hideMark/>
          </w:tcPr>
          <w:p w14:paraId="2B8B68B3" w14:textId="77777777" w:rsidR="001E3BAD" w:rsidRPr="001E3BAD" w:rsidRDefault="001E3BAD" w:rsidP="001E3BAD">
            <w:pPr>
              <w:spacing w:after="0"/>
              <w:ind w:firstLine="709"/>
              <w:jc w:val="both"/>
              <w:rPr>
                <w:lang w:val="en-US"/>
              </w:rPr>
            </w:pPr>
            <w:r w:rsidRPr="001E3BAD">
              <w:rPr>
                <w:lang w:val="en-US"/>
              </w:rPr>
              <w:t>Maintained despite soreness.</w:t>
            </w:r>
          </w:p>
        </w:tc>
      </w:tr>
      <w:tr w:rsidR="001E3BAD" w:rsidRPr="001E3BAD" w14:paraId="146F5D09" w14:textId="77777777">
        <w:trPr>
          <w:tblCellSpacing w:w="15" w:type="dxa"/>
        </w:trPr>
        <w:tc>
          <w:tcPr>
            <w:tcW w:w="0" w:type="auto"/>
            <w:vAlign w:val="center"/>
            <w:hideMark/>
          </w:tcPr>
          <w:p w14:paraId="108A3841" w14:textId="77777777" w:rsidR="001E3BAD" w:rsidRPr="001E3BAD" w:rsidRDefault="001E3BAD" w:rsidP="001E3BAD">
            <w:pPr>
              <w:spacing w:after="0"/>
              <w:ind w:firstLine="709"/>
              <w:jc w:val="both"/>
              <w:rPr>
                <w:lang w:val="en-US"/>
              </w:rPr>
            </w:pPr>
            <w:r w:rsidRPr="001E3BAD">
              <w:rPr>
                <w:lang w:val="en-US"/>
              </w:rPr>
              <w:t>Recovery Index (Sleep/HRV)</w:t>
            </w:r>
          </w:p>
        </w:tc>
        <w:tc>
          <w:tcPr>
            <w:tcW w:w="0" w:type="auto"/>
            <w:vAlign w:val="center"/>
            <w:hideMark/>
          </w:tcPr>
          <w:p w14:paraId="219CD36E" w14:textId="77777777" w:rsidR="001E3BAD" w:rsidRPr="001E3BAD" w:rsidRDefault="001E3BAD" w:rsidP="001E3BAD">
            <w:pPr>
              <w:spacing w:after="0"/>
              <w:ind w:firstLine="709"/>
              <w:jc w:val="both"/>
              <w:rPr>
                <w:lang w:val="en-US"/>
              </w:rPr>
            </w:pPr>
            <w:r w:rsidRPr="001E3BAD">
              <w:rPr>
                <w:lang w:val="en-US"/>
              </w:rPr>
              <w:t>Slight dip</w:t>
            </w:r>
          </w:p>
        </w:tc>
        <w:tc>
          <w:tcPr>
            <w:tcW w:w="0" w:type="auto"/>
            <w:vAlign w:val="center"/>
            <w:hideMark/>
          </w:tcPr>
          <w:p w14:paraId="1867F72F" w14:textId="77777777" w:rsidR="001E3BAD" w:rsidRPr="001E3BAD" w:rsidRDefault="001E3BAD" w:rsidP="001E3BAD">
            <w:pPr>
              <w:spacing w:after="0"/>
              <w:ind w:firstLine="709"/>
              <w:jc w:val="both"/>
              <w:rPr>
                <w:lang w:val="en-US"/>
              </w:rPr>
            </w:pPr>
            <w:r w:rsidRPr="001E3BAD">
              <w:rPr>
                <w:lang w:val="en-US"/>
              </w:rPr>
              <w:t>—</w:t>
            </w:r>
          </w:p>
        </w:tc>
        <w:tc>
          <w:tcPr>
            <w:tcW w:w="0" w:type="auto"/>
            <w:vAlign w:val="center"/>
            <w:hideMark/>
          </w:tcPr>
          <w:p w14:paraId="67827FD8" w14:textId="77777777" w:rsidR="001E3BAD" w:rsidRPr="001E3BAD" w:rsidRDefault="001E3BAD" w:rsidP="001E3BAD">
            <w:pPr>
              <w:spacing w:after="0"/>
              <w:ind w:firstLine="709"/>
              <w:jc w:val="both"/>
              <w:rPr>
                <w:lang w:val="en-US"/>
              </w:rPr>
            </w:pPr>
            <w:r w:rsidRPr="001E3BAD">
              <w:rPr>
                <w:lang w:val="en-US"/>
              </w:rPr>
              <w:t>Impacted by soreness; improved with mindfulness practices.</w:t>
            </w:r>
          </w:p>
        </w:tc>
      </w:tr>
      <w:tr w:rsidR="001E3BAD" w:rsidRPr="001E3BAD" w14:paraId="2F638424" w14:textId="77777777">
        <w:trPr>
          <w:tblCellSpacing w:w="15" w:type="dxa"/>
        </w:trPr>
        <w:tc>
          <w:tcPr>
            <w:tcW w:w="0" w:type="auto"/>
            <w:vAlign w:val="center"/>
            <w:hideMark/>
          </w:tcPr>
          <w:p w14:paraId="0F50D466" w14:textId="77777777" w:rsidR="001E3BAD" w:rsidRPr="001E3BAD" w:rsidRDefault="001E3BAD" w:rsidP="001E3BAD">
            <w:pPr>
              <w:spacing w:after="0"/>
              <w:ind w:firstLine="709"/>
              <w:jc w:val="both"/>
              <w:rPr>
                <w:lang w:val="en-US"/>
              </w:rPr>
            </w:pPr>
            <w:r w:rsidRPr="001E3BAD">
              <w:rPr>
                <w:lang w:val="en-US"/>
              </w:rPr>
              <w:t>Weight</w:t>
            </w:r>
          </w:p>
        </w:tc>
        <w:tc>
          <w:tcPr>
            <w:tcW w:w="0" w:type="auto"/>
            <w:vAlign w:val="center"/>
            <w:hideMark/>
          </w:tcPr>
          <w:p w14:paraId="2AF11463" w14:textId="77777777" w:rsidR="001E3BAD" w:rsidRPr="001E3BAD" w:rsidRDefault="001E3BAD" w:rsidP="001E3BAD">
            <w:pPr>
              <w:spacing w:after="0"/>
              <w:ind w:firstLine="709"/>
              <w:jc w:val="both"/>
              <w:rPr>
                <w:lang w:val="en-US"/>
              </w:rPr>
            </w:pPr>
            <w:r w:rsidRPr="001E3BAD">
              <w:rPr>
                <w:lang w:val="en-US"/>
              </w:rPr>
              <w:t>69.0 kg</w:t>
            </w:r>
          </w:p>
        </w:tc>
        <w:tc>
          <w:tcPr>
            <w:tcW w:w="0" w:type="auto"/>
            <w:vAlign w:val="center"/>
            <w:hideMark/>
          </w:tcPr>
          <w:p w14:paraId="7DA7F0CE" w14:textId="77777777" w:rsidR="001E3BAD" w:rsidRPr="001E3BAD" w:rsidRDefault="001E3BAD" w:rsidP="001E3BAD">
            <w:pPr>
              <w:spacing w:after="0"/>
              <w:ind w:firstLine="709"/>
              <w:jc w:val="both"/>
              <w:rPr>
                <w:lang w:val="en-US"/>
              </w:rPr>
            </w:pPr>
            <w:r w:rsidRPr="001E3BAD">
              <w:rPr>
                <w:lang w:val="en-US"/>
              </w:rPr>
              <w:t>—</w:t>
            </w:r>
          </w:p>
        </w:tc>
        <w:tc>
          <w:tcPr>
            <w:tcW w:w="0" w:type="auto"/>
            <w:vAlign w:val="center"/>
            <w:hideMark/>
          </w:tcPr>
          <w:p w14:paraId="2ECDFCAF" w14:textId="77777777" w:rsidR="001E3BAD" w:rsidRPr="001E3BAD" w:rsidRDefault="001E3BAD" w:rsidP="001E3BAD">
            <w:pPr>
              <w:spacing w:after="0"/>
              <w:ind w:firstLine="709"/>
              <w:jc w:val="both"/>
              <w:rPr>
                <w:lang w:val="en-US"/>
              </w:rPr>
            </w:pPr>
            <w:r w:rsidRPr="001E3BAD">
              <w:rPr>
                <w:lang w:val="en-US"/>
              </w:rPr>
              <w:t>Stable, reflecting balanced nutrition.</w:t>
            </w:r>
          </w:p>
        </w:tc>
      </w:tr>
      <w:tr w:rsidR="001E3BAD" w:rsidRPr="001E3BAD" w14:paraId="384D4032" w14:textId="77777777">
        <w:trPr>
          <w:tblCellSpacing w:w="15" w:type="dxa"/>
        </w:trPr>
        <w:tc>
          <w:tcPr>
            <w:tcW w:w="0" w:type="auto"/>
            <w:vAlign w:val="center"/>
            <w:hideMark/>
          </w:tcPr>
          <w:p w14:paraId="17D12642" w14:textId="77777777" w:rsidR="001E3BAD" w:rsidRPr="001E3BAD" w:rsidRDefault="001E3BAD" w:rsidP="001E3BAD">
            <w:pPr>
              <w:spacing w:after="0"/>
              <w:ind w:firstLine="709"/>
              <w:jc w:val="both"/>
              <w:rPr>
                <w:lang w:val="en-US"/>
              </w:rPr>
            </w:pPr>
            <w:r w:rsidRPr="001E3BAD">
              <w:rPr>
                <w:lang w:val="en-US"/>
              </w:rPr>
              <w:t>Mood Stability Index</w:t>
            </w:r>
          </w:p>
        </w:tc>
        <w:tc>
          <w:tcPr>
            <w:tcW w:w="0" w:type="auto"/>
            <w:vAlign w:val="center"/>
            <w:hideMark/>
          </w:tcPr>
          <w:p w14:paraId="4DB568E6" w14:textId="77777777" w:rsidR="001E3BAD" w:rsidRPr="001E3BAD" w:rsidRDefault="001E3BAD" w:rsidP="001E3BAD">
            <w:pPr>
              <w:spacing w:after="0"/>
              <w:ind w:firstLine="709"/>
              <w:jc w:val="both"/>
              <w:rPr>
                <w:lang w:val="en-US"/>
              </w:rPr>
            </w:pPr>
            <w:r w:rsidRPr="001E3BAD">
              <w:rPr>
                <w:lang w:val="en-US"/>
              </w:rPr>
              <w:t>7.8/10</w:t>
            </w:r>
          </w:p>
        </w:tc>
        <w:tc>
          <w:tcPr>
            <w:tcW w:w="0" w:type="auto"/>
            <w:vAlign w:val="center"/>
            <w:hideMark/>
          </w:tcPr>
          <w:p w14:paraId="43861EDD" w14:textId="77777777" w:rsidR="001E3BAD" w:rsidRPr="001E3BAD" w:rsidRDefault="001E3BAD" w:rsidP="001E3BAD">
            <w:pPr>
              <w:spacing w:after="0"/>
              <w:ind w:firstLine="709"/>
              <w:jc w:val="both"/>
              <w:rPr>
                <w:lang w:val="en-US"/>
              </w:rPr>
            </w:pPr>
            <w:r w:rsidRPr="001E3BAD">
              <w:rPr>
                <w:lang w:val="en-US"/>
              </w:rPr>
              <w:t>7–9 balanced</w:t>
            </w:r>
          </w:p>
        </w:tc>
        <w:tc>
          <w:tcPr>
            <w:tcW w:w="0" w:type="auto"/>
            <w:vAlign w:val="center"/>
            <w:hideMark/>
          </w:tcPr>
          <w:p w14:paraId="0B5ADFED" w14:textId="77777777" w:rsidR="001E3BAD" w:rsidRPr="001E3BAD" w:rsidRDefault="001E3BAD" w:rsidP="001E3BAD">
            <w:pPr>
              <w:spacing w:after="0"/>
              <w:ind w:firstLine="709"/>
              <w:jc w:val="both"/>
              <w:rPr>
                <w:lang w:val="en-US"/>
              </w:rPr>
            </w:pPr>
            <w:r w:rsidRPr="001E3BAD">
              <w:rPr>
                <w:lang w:val="en-US"/>
              </w:rPr>
              <w:t>Supported by peer and therapist guidance.</w:t>
            </w:r>
          </w:p>
        </w:tc>
      </w:tr>
      <w:tr w:rsidR="001E3BAD" w:rsidRPr="001E3BAD" w14:paraId="0CC19CF4" w14:textId="77777777">
        <w:trPr>
          <w:tblCellSpacing w:w="15" w:type="dxa"/>
        </w:trPr>
        <w:tc>
          <w:tcPr>
            <w:tcW w:w="0" w:type="auto"/>
            <w:vAlign w:val="center"/>
            <w:hideMark/>
          </w:tcPr>
          <w:p w14:paraId="06A48161" w14:textId="77777777" w:rsidR="001E3BAD" w:rsidRPr="001E3BAD" w:rsidRDefault="001E3BAD" w:rsidP="001E3BAD">
            <w:pPr>
              <w:spacing w:after="0"/>
              <w:ind w:firstLine="709"/>
              <w:jc w:val="both"/>
              <w:rPr>
                <w:lang w:val="en-US"/>
              </w:rPr>
            </w:pPr>
            <w:r w:rsidRPr="001E3BAD">
              <w:rPr>
                <w:lang w:val="en-US"/>
              </w:rPr>
              <w:t>Training Compliance</w:t>
            </w:r>
          </w:p>
        </w:tc>
        <w:tc>
          <w:tcPr>
            <w:tcW w:w="0" w:type="auto"/>
            <w:vAlign w:val="center"/>
            <w:hideMark/>
          </w:tcPr>
          <w:p w14:paraId="70041717" w14:textId="77777777" w:rsidR="001E3BAD" w:rsidRPr="001E3BAD" w:rsidRDefault="001E3BAD" w:rsidP="001E3BAD">
            <w:pPr>
              <w:spacing w:after="0"/>
              <w:ind w:firstLine="709"/>
              <w:jc w:val="both"/>
              <w:rPr>
                <w:lang w:val="en-US"/>
              </w:rPr>
            </w:pPr>
            <w:r w:rsidRPr="001E3BAD">
              <w:rPr>
                <w:lang w:val="en-US"/>
              </w:rPr>
              <w:t>High</w:t>
            </w:r>
          </w:p>
        </w:tc>
        <w:tc>
          <w:tcPr>
            <w:tcW w:w="0" w:type="auto"/>
            <w:vAlign w:val="center"/>
            <w:hideMark/>
          </w:tcPr>
          <w:p w14:paraId="67F6B7AD" w14:textId="77777777" w:rsidR="001E3BAD" w:rsidRPr="001E3BAD" w:rsidRDefault="001E3BAD" w:rsidP="001E3BAD">
            <w:pPr>
              <w:spacing w:after="0"/>
              <w:ind w:firstLine="709"/>
              <w:jc w:val="both"/>
              <w:rPr>
                <w:lang w:val="en-US"/>
              </w:rPr>
            </w:pPr>
            <w:r w:rsidRPr="001E3BAD">
              <w:rPr>
                <w:lang w:val="en-US"/>
              </w:rPr>
              <w:t>—</w:t>
            </w:r>
          </w:p>
        </w:tc>
        <w:tc>
          <w:tcPr>
            <w:tcW w:w="0" w:type="auto"/>
            <w:vAlign w:val="center"/>
            <w:hideMark/>
          </w:tcPr>
          <w:p w14:paraId="7EF15E75" w14:textId="77777777" w:rsidR="001E3BAD" w:rsidRPr="001E3BAD" w:rsidRDefault="001E3BAD" w:rsidP="001E3BAD">
            <w:pPr>
              <w:spacing w:after="0"/>
              <w:ind w:firstLine="709"/>
              <w:jc w:val="both"/>
              <w:rPr>
                <w:lang w:val="en-US"/>
              </w:rPr>
            </w:pPr>
            <w:r w:rsidRPr="001E3BAD">
              <w:rPr>
                <w:lang w:val="en-US"/>
              </w:rPr>
              <w:t>Adjusted load followed precisely as per guidance.</w:t>
            </w:r>
          </w:p>
        </w:tc>
      </w:tr>
    </w:tbl>
    <w:p w14:paraId="0D7BE349" w14:textId="77777777" w:rsidR="00F12C76" w:rsidRPr="001E3BAD" w:rsidRDefault="00F12C76" w:rsidP="006C0B77">
      <w:pPr>
        <w:spacing w:after="0"/>
        <w:ind w:firstLine="709"/>
        <w:jc w:val="both"/>
        <w:rPr>
          <w:lang w:val="en-US"/>
        </w:rPr>
      </w:pPr>
    </w:p>
    <w:sectPr w:rsidR="00F12C76" w:rsidRPr="001E3BA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D"/>
    <w:rsid w:val="001E3BAD"/>
    <w:rsid w:val="00413883"/>
    <w:rsid w:val="00450B95"/>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D6E4"/>
  <w15:chartTrackingRefBased/>
  <w15:docId w15:val="{CC7C4578-3620-43E7-9A31-D6878BC4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1E3BA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E3BA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3BA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1E3BA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3BA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1E3BA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3BA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3BA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3BA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BA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E3BA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E3BA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E3BA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1E3BA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1E3BA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E3BA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E3BA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E3BA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E3B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BA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E3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BAD"/>
    <w:pPr>
      <w:spacing w:before="160"/>
      <w:jc w:val="center"/>
    </w:pPr>
    <w:rPr>
      <w:i/>
      <w:iCs/>
      <w:color w:val="404040" w:themeColor="text1" w:themeTint="BF"/>
    </w:rPr>
  </w:style>
  <w:style w:type="character" w:customStyle="1" w:styleId="QuoteChar">
    <w:name w:val="Quote Char"/>
    <w:basedOn w:val="DefaultParagraphFont"/>
    <w:link w:val="Quote"/>
    <w:uiPriority w:val="29"/>
    <w:rsid w:val="001E3BAD"/>
    <w:rPr>
      <w:rFonts w:ascii="Times New Roman" w:hAnsi="Times New Roman"/>
      <w:i/>
      <w:iCs/>
      <w:color w:val="404040" w:themeColor="text1" w:themeTint="BF"/>
      <w:sz w:val="28"/>
    </w:rPr>
  </w:style>
  <w:style w:type="paragraph" w:styleId="ListParagraph">
    <w:name w:val="List Paragraph"/>
    <w:basedOn w:val="Normal"/>
    <w:uiPriority w:val="34"/>
    <w:qFormat/>
    <w:rsid w:val="001E3BAD"/>
    <w:pPr>
      <w:ind w:left="720"/>
      <w:contextualSpacing/>
    </w:pPr>
  </w:style>
  <w:style w:type="character" w:styleId="IntenseEmphasis">
    <w:name w:val="Intense Emphasis"/>
    <w:basedOn w:val="DefaultParagraphFont"/>
    <w:uiPriority w:val="21"/>
    <w:qFormat/>
    <w:rsid w:val="001E3BAD"/>
    <w:rPr>
      <w:i/>
      <w:iCs/>
      <w:color w:val="2E74B5" w:themeColor="accent1" w:themeShade="BF"/>
    </w:rPr>
  </w:style>
  <w:style w:type="paragraph" w:styleId="IntenseQuote">
    <w:name w:val="Intense Quote"/>
    <w:basedOn w:val="Normal"/>
    <w:next w:val="Normal"/>
    <w:link w:val="IntenseQuoteChar"/>
    <w:uiPriority w:val="30"/>
    <w:qFormat/>
    <w:rsid w:val="001E3BA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E3BA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1E3BA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2025-08-17T13:12:00Z</dcterms:created>
  <dcterms:modified xsi:type="dcterms:W3CDTF">2025-08-17T13:12:00Z</dcterms:modified>
</cp:coreProperties>
</file>