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41E40" w14:textId="77777777" w:rsidR="00C57D5C" w:rsidRPr="00C57D5C" w:rsidRDefault="00C57D5C" w:rsidP="00C57D5C">
      <w:pPr>
        <w:spacing w:after="0"/>
        <w:ind w:firstLine="709"/>
        <w:jc w:val="center"/>
        <w:rPr>
          <w:b/>
          <w:bCs/>
          <w:lang w:val="en-US"/>
        </w:rPr>
      </w:pPr>
      <w:r w:rsidRPr="00C57D5C">
        <w:rPr>
          <w:b/>
          <w:bCs/>
          <w:lang w:val="en-US"/>
        </w:rPr>
        <w:t>Week 28 – Structured Endurance Training, Strength Building, and Recovery Emphasis</w:t>
      </w:r>
    </w:p>
    <w:p w14:paraId="28D93081" w14:textId="77777777" w:rsidR="00C57D5C" w:rsidRPr="00C57D5C" w:rsidRDefault="00C57D5C" w:rsidP="00C57D5C">
      <w:pPr>
        <w:spacing w:after="0"/>
        <w:ind w:firstLine="709"/>
        <w:jc w:val="both"/>
        <w:rPr>
          <w:lang w:val="en-US"/>
        </w:rPr>
      </w:pPr>
      <w:r w:rsidRPr="00C57D5C">
        <w:rPr>
          <w:b/>
          <w:bCs/>
          <w:lang w:val="en-US"/>
        </w:rPr>
        <w:t>Medical:</w:t>
      </w:r>
      <w:r w:rsidRPr="00C57D5C">
        <w:rPr>
          <w:lang w:val="en-US"/>
        </w:rPr>
        <w:br/>
        <w:t>Dr. Patel continued to monitor Aarav’s recovery metrics, placing emphasis on sleep and nutrition as the two critical supports for handling increased training volume. He scheduled future bloodwork to ensure inflammation, energy metabolism, and muscle recovery remain aligned with Aarav’s performance push.</w:t>
      </w:r>
    </w:p>
    <w:p w14:paraId="2F2681A2" w14:textId="77777777" w:rsidR="00C57D5C" w:rsidRPr="00C57D5C" w:rsidRDefault="00C57D5C" w:rsidP="00C57D5C">
      <w:pPr>
        <w:spacing w:after="0"/>
        <w:ind w:firstLine="709"/>
        <w:jc w:val="both"/>
        <w:rPr>
          <w:lang w:val="en-US"/>
        </w:rPr>
      </w:pPr>
      <w:r w:rsidRPr="00C57D5C">
        <w:rPr>
          <w:b/>
          <w:bCs/>
          <w:lang w:val="en-US"/>
        </w:rPr>
        <w:t>Physio:</w:t>
      </w:r>
      <w:r w:rsidRPr="00C57D5C">
        <w:rPr>
          <w:lang w:val="en-US"/>
        </w:rPr>
        <w:br/>
        <w:t>Rachel introduced a more structured endurance and strength-building phase. Sessions now combined cardio (cycling, treadmill running, and interval sprints) with progressive weight training. Alongside intensity, she emphasized flexibility and mobility drills to maintain joint health and reduce injury risk. Soreness tracking was integrated into Aarav’s logs to fine-tune recovery.</w:t>
      </w:r>
    </w:p>
    <w:p w14:paraId="7347E33D" w14:textId="77777777" w:rsidR="00C57D5C" w:rsidRPr="00C57D5C" w:rsidRDefault="00C57D5C" w:rsidP="00C57D5C">
      <w:pPr>
        <w:spacing w:after="0"/>
        <w:ind w:firstLine="709"/>
        <w:jc w:val="both"/>
        <w:rPr>
          <w:lang w:val="en-US"/>
        </w:rPr>
      </w:pPr>
      <w:r w:rsidRPr="00C57D5C">
        <w:rPr>
          <w:b/>
          <w:bCs/>
          <w:lang w:val="en-US"/>
        </w:rPr>
        <w:t>Nutrition:</w:t>
      </w:r>
      <w:r w:rsidRPr="00C57D5C">
        <w:rPr>
          <w:lang w:val="en-US"/>
        </w:rPr>
        <w:br/>
        <w:t>Carla designed meal prep strategies centered on lean protein intake, anti-inflammatory foods, and consistent hydration. She stressed protein timing around workouts and encouraged electrolyte balance during endurance sessions. Aarav adopted these habits actively, reporting better energy and less post-training fatigue.</w:t>
      </w:r>
    </w:p>
    <w:p w14:paraId="27E58EA0" w14:textId="77777777" w:rsidR="00C57D5C" w:rsidRPr="00C57D5C" w:rsidRDefault="00C57D5C" w:rsidP="00C57D5C">
      <w:pPr>
        <w:spacing w:after="0"/>
        <w:ind w:firstLine="709"/>
        <w:jc w:val="both"/>
        <w:rPr>
          <w:lang w:val="en-US"/>
        </w:rPr>
      </w:pPr>
      <w:r w:rsidRPr="00C57D5C">
        <w:rPr>
          <w:b/>
          <w:bCs/>
          <w:lang w:val="en-US"/>
        </w:rPr>
        <w:t>Mental Health:</w:t>
      </w:r>
      <w:r w:rsidRPr="00C57D5C">
        <w:rPr>
          <w:lang w:val="en-US"/>
        </w:rPr>
        <w:br/>
        <w:t>Dr. Isha guided Aarav in practicing mental rest techniques, including short mindfulness breaks and visualization of training outcomes. Neel reinforced the value of pacing, encouraging Aarav not to overexert early in this training cycle, while also reminding him of the community support available through peer athletes.</w:t>
      </w:r>
    </w:p>
    <w:p w14:paraId="2C9D6685" w14:textId="77777777" w:rsidR="00C57D5C" w:rsidRPr="00C57D5C" w:rsidRDefault="00C57D5C" w:rsidP="00C57D5C">
      <w:pPr>
        <w:spacing w:after="0"/>
        <w:ind w:firstLine="709"/>
        <w:jc w:val="both"/>
        <w:rPr>
          <w:lang w:val="en-US"/>
        </w:rPr>
      </w:pPr>
      <w:r w:rsidRPr="00C57D5C">
        <w:rPr>
          <w:b/>
          <w:bCs/>
          <w:lang w:val="en-US"/>
        </w:rPr>
        <w:t>Engagement:</w:t>
      </w:r>
      <w:r w:rsidRPr="00C57D5C">
        <w:rPr>
          <w:lang w:val="en-US"/>
        </w:rPr>
        <w:br/>
        <w:t>Aarav showed high engagement—he completed endurance workouts as prescribed, carefully tracked soreness, and even joined a group training session to challenge himself in a team environment. His logs this week were particularly detailed, helping the support team monitor and adjust effectively.</w:t>
      </w:r>
    </w:p>
    <w:p w14:paraId="2D72C05A" w14:textId="77777777" w:rsidR="00C57D5C" w:rsidRPr="00C57D5C" w:rsidRDefault="00C57D5C" w:rsidP="00C57D5C">
      <w:pPr>
        <w:spacing w:after="0"/>
        <w:ind w:firstLine="709"/>
        <w:jc w:val="both"/>
        <w:rPr>
          <w:lang w:val="en-US"/>
        </w:rPr>
      </w:pPr>
      <w:r w:rsidRPr="00C57D5C">
        <w:rPr>
          <w:b/>
          <w:bCs/>
          <w:lang w:val="en-US"/>
        </w:rPr>
        <w:t>Overall:</w:t>
      </w:r>
      <w:r w:rsidRPr="00C57D5C">
        <w:rPr>
          <w:lang w:val="en-US"/>
        </w:rPr>
        <w:br/>
        <w:t>Week 28 was marked by structure and strength: Aarav successfully built endurance capacity while maintaining balance, recovery, and holistic discipline across medical, physical, nutritional, and psychological dimensions.</w:t>
      </w:r>
    </w:p>
    <w:p w14:paraId="264A13D7" w14:textId="77777777" w:rsidR="00C57D5C" w:rsidRPr="00C57D5C" w:rsidRDefault="00C57D5C" w:rsidP="00C57D5C">
      <w:pPr>
        <w:spacing w:after="0"/>
        <w:ind w:firstLine="709"/>
        <w:jc w:val="both"/>
        <w:rPr>
          <w:lang w:val="en-US"/>
        </w:rPr>
      </w:pPr>
      <w:r w:rsidRPr="00C57D5C">
        <w:rPr>
          <w:lang w:val="en-US"/>
        </w:rPr>
        <w:pict w14:anchorId="16C8027C">
          <v:rect id="_x0000_i1031" style="width:0;height:1.5pt" o:hralign="center" o:hrstd="t" o:hr="t" fillcolor="#a0a0a0" stroked="f"/>
        </w:pict>
      </w:r>
    </w:p>
    <w:p w14:paraId="02E7DC1A" w14:textId="77777777" w:rsidR="00C57D5C" w:rsidRPr="00C57D5C" w:rsidRDefault="00C57D5C" w:rsidP="00C57D5C">
      <w:pPr>
        <w:spacing w:after="0"/>
        <w:ind w:firstLine="709"/>
        <w:jc w:val="both"/>
        <w:rPr>
          <w:b/>
          <w:bCs/>
          <w:lang w:val="en-US"/>
        </w:rPr>
      </w:pPr>
      <w:r w:rsidRPr="00C57D5C">
        <w:rPr>
          <w:b/>
          <w:bCs/>
          <w:lang w:val="en-US"/>
        </w:rPr>
        <w:t>Week 28 Key Tests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6"/>
        <w:gridCol w:w="1876"/>
        <w:gridCol w:w="1815"/>
        <w:gridCol w:w="2927"/>
      </w:tblGrid>
      <w:tr w:rsidR="00C57D5C" w:rsidRPr="00C57D5C" w14:paraId="6C17423D" w14:textId="77777777">
        <w:trPr>
          <w:tblHeader/>
          <w:tblCellSpacing w:w="15" w:type="dxa"/>
        </w:trPr>
        <w:tc>
          <w:tcPr>
            <w:tcW w:w="0" w:type="auto"/>
            <w:vAlign w:val="center"/>
            <w:hideMark/>
          </w:tcPr>
          <w:p w14:paraId="13F37F61" w14:textId="77777777" w:rsidR="00C57D5C" w:rsidRPr="00C57D5C" w:rsidRDefault="00C57D5C" w:rsidP="00C57D5C">
            <w:pPr>
              <w:spacing w:after="0"/>
              <w:ind w:firstLine="709"/>
              <w:jc w:val="both"/>
              <w:rPr>
                <w:b/>
                <w:bCs/>
                <w:lang w:val="en-US"/>
              </w:rPr>
            </w:pPr>
            <w:r w:rsidRPr="00C57D5C">
              <w:rPr>
                <w:b/>
                <w:bCs/>
                <w:lang w:val="en-US"/>
              </w:rPr>
              <w:t>Test / Measure</w:t>
            </w:r>
          </w:p>
        </w:tc>
        <w:tc>
          <w:tcPr>
            <w:tcW w:w="0" w:type="auto"/>
            <w:vAlign w:val="center"/>
            <w:hideMark/>
          </w:tcPr>
          <w:p w14:paraId="7F6A6CFA" w14:textId="77777777" w:rsidR="00C57D5C" w:rsidRPr="00C57D5C" w:rsidRDefault="00C57D5C" w:rsidP="00C57D5C">
            <w:pPr>
              <w:spacing w:after="0"/>
              <w:ind w:firstLine="709"/>
              <w:jc w:val="both"/>
              <w:rPr>
                <w:b/>
                <w:bCs/>
                <w:lang w:val="en-US"/>
              </w:rPr>
            </w:pPr>
            <w:r w:rsidRPr="00C57D5C">
              <w:rPr>
                <w:b/>
                <w:bCs/>
                <w:lang w:val="en-US"/>
              </w:rPr>
              <w:t>Value</w:t>
            </w:r>
          </w:p>
        </w:tc>
        <w:tc>
          <w:tcPr>
            <w:tcW w:w="0" w:type="auto"/>
            <w:vAlign w:val="center"/>
            <w:hideMark/>
          </w:tcPr>
          <w:p w14:paraId="30E3A144" w14:textId="77777777" w:rsidR="00C57D5C" w:rsidRPr="00C57D5C" w:rsidRDefault="00C57D5C" w:rsidP="00C57D5C">
            <w:pPr>
              <w:spacing w:after="0"/>
              <w:ind w:firstLine="709"/>
              <w:jc w:val="both"/>
              <w:rPr>
                <w:b/>
                <w:bCs/>
                <w:lang w:val="en-US"/>
              </w:rPr>
            </w:pPr>
            <w:r w:rsidRPr="00C57D5C">
              <w:rPr>
                <w:b/>
                <w:bCs/>
                <w:lang w:val="en-US"/>
              </w:rPr>
              <w:t>Normal Range</w:t>
            </w:r>
          </w:p>
        </w:tc>
        <w:tc>
          <w:tcPr>
            <w:tcW w:w="0" w:type="auto"/>
            <w:vAlign w:val="center"/>
            <w:hideMark/>
          </w:tcPr>
          <w:p w14:paraId="27AE7DA7" w14:textId="77777777" w:rsidR="00C57D5C" w:rsidRPr="00C57D5C" w:rsidRDefault="00C57D5C" w:rsidP="00C57D5C">
            <w:pPr>
              <w:spacing w:after="0"/>
              <w:ind w:firstLine="709"/>
              <w:jc w:val="both"/>
              <w:rPr>
                <w:b/>
                <w:bCs/>
                <w:lang w:val="en-US"/>
              </w:rPr>
            </w:pPr>
            <w:r w:rsidRPr="00C57D5C">
              <w:rPr>
                <w:b/>
                <w:bCs/>
                <w:lang w:val="en-US"/>
              </w:rPr>
              <w:t>Comments</w:t>
            </w:r>
          </w:p>
        </w:tc>
      </w:tr>
      <w:tr w:rsidR="00C57D5C" w:rsidRPr="00C57D5C" w14:paraId="15CF70A3" w14:textId="77777777">
        <w:trPr>
          <w:tblCellSpacing w:w="15" w:type="dxa"/>
        </w:trPr>
        <w:tc>
          <w:tcPr>
            <w:tcW w:w="0" w:type="auto"/>
            <w:vAlign w:val="center"/>
            <w:hideMark/>
          </w:tcPr>
          <w:p w14:paraId="5354FE71" w14:textId="77777777" w:rsidR="00C57D5C" w:rsidRPr="00C57D5C" w:rsidRDefault="00C57D5C" w:rsidP="00C57D5C">
            <w:pPr>
              <w:spacing w:after="0"/>
              <w:ind w:firstLine="709"/>
              <w:jc w:val="both"/>
              <w:rPr>
                <w:lang w:val="en-US"/>
              </w:rPr>
            </w:pPr>
            <w:r w:rsidRPr="00C57D5C">
              <w:rPr>
                <w:lang w:val="en-US"/>
              </w:rPr>
              <w:t>Resting Heart Rate</w:t>
            </w:r>
          </w:p>
        </w:tc>
        <w:tc>
          <w:tcPr>
            <w:tcW w:w="0" w:type="auto"/>
            <w:vAlign w:val="center"/>
            <w:hideMark/>
          </w:tcPr>
          <w:p w14:paraId="7EB21E9F" w14:textId="77777777" w:rsidR="00C57D5C" w:rsidRPr="00C57D5C" w:rsidRDefault="00C57D5C" w:rsidP="00C57D5C">
            <w:pPr>
              <w:spacing w:after="0"/>
              <w:ind w:firstLine="709"/>
              <w:jc w:val="both"/>
              <w:rPr>
                <w:lang w:val="en-US"/>
              </w:rPr>
            </w:pPr>
            <w:r w:rsidRPr="00C57D5C">
              <w:rPr>
                <w:lang w:val="en-US"/>
              </w:rPr>
              <w:t>62 bpm</w:t>
            </w:r>
          </w:p>
        </w:tc>
        <w:tc>
          <w:tcPr>
            <w:tcW w:w="0" w:type="auto"/>
            <w:vAlign w:val="center"/>
            <w:hideMark/>
          </w:tcPr>
          <w:p w14:paraId="124DB758" w14:textId="77777777" w:rsidR="00C57D5C" w:rsidRPr="00C57D5C" w:rsidRDefault="00C57D5C" w:rsidP="00C57D5C">
            <w:pPr>
              <w:spacing w:after="0"/>
              <w:ind w:firstLine="709"/>
              <w:jc w:val="both"/>
              <w:rPr>
                <w:lang w:val="en-US"/>
              </w:rPr>
            </w:pPr>
            <w:r w:rsidRPr="00C57D5C">
              <w:rPr>
                <w:lang w:val="en-US"/>
              </w:rPr>
              <w:t>50–70 bpm</w:t>
            </w:r>
          </w:p>
        </w:tc>
        <w:tc>
          <w:tcPr>
            <w:tcW w:w="0" w:type="auto"/>
            <w:vAlign w:val="center"/>
            <w:hideMark/>
          </w:tcPr>
          <w:p w14:paraId="4A7F6EEE" w14:textId="77777777" w:rsidR="00C57D5C" w:rsidRPr="00C57D5C" w:rsidRDefault="00C57D5C" w:rsidP="00C57D5C">
            <w:pPr>
              <w:spacing w:after="0"/>
              <w:ind w:firstLine="709"/>
              <w:jc w:val="both"/>
              <w:rPr>
                <w:lang w:val="en-US"/>
              </w:rPr>
            </w:pPr>
            <w:r w:rsidRPr="00C57D5C">
              <w:rPr>
                <w:lang w:val="en-US"/>
              </w:rPr>
              <w:t>Stable, reflecting good adaptation to endurance training.</w:t>
            </w:r>
          </w:p>
        </w:tc>
      </w:tr>
      <w:tr w:rsidR="00C57D5C" w:rsidRPr="00C57D5C" w14:paraId="1E0F035D" w14:textId="77777777">
        <w:trPr>
          <w:tblCellSpacing w:w="15" w:type="dxa"/>
        </w:trPr>
        <w:tc>
          <w:tcPr>
            <w:tcW w:w="0" w:type="auto"/>
            <w:vAlign w:val="center"/>
            <w:hideMark/>
          </w:tcPr>
          <w:p w14:paraId="5220DE54" w14:textId="77777777" w:rsidR="00C57D5C" w:rsidRPr="00C57D5C" w:rsidRDefault="00C57D5C" w:rsidP="00C57D5C">
            <w:pPr>
              <w:spacing w:after="0"/>
              <w:ind w:firstLine="709"/>
              <w:jc w:val="both"/>
              <w:rPr>
                <w:lang w:val="en-US"/>
              </w:rPr>
            </w:pPr>
            <w:r w:rsidRPr="00C57D5C">
              <w:rPr>
                <w:lang w:val="en-US"/>
              </w:rPr>
              <w:t>VO₂ Max Estimate</w:t>
            </w:r>
          </w:p>
        </w:tc>
        <w:tc>
          <w:tcPr>
            <w:tcW w:w="0" w:type="auto"/>
            <w:vAlign w:val="center"/>
            <w:hideMark/>
          </w:tcPr>
          <w:p w14:paraId="51FE106F" w14:textId="77777777" w:rsidR="00C57D5C" w:rsidRPr="00C57D5C" w:rsidRDefault="00C57D5C" w:rsidP="00C57D5C">
            <w:pPr>
              <w:spacing w:after="0"/>
              <w:ind w:firstLine="709"/>
              <w:jc w:val="both"/>
              <w:rPr>
                <w:lang w:val="en-US"/>
              </w:rPr>
            </w:pPr>
            <w:r w:rsidRPr="00C57D5C">
              <w:rPr>
                <w:lang w:val="en-US"/>
              </w:rPr>
              <w:t>47 mL/kg/min</w:t>
            </w:r>
          </w:p>
        </w:tc>
        <w:tc>
          <w:tcPr>
            <w:tcW w:w="0" w:type="auto"/>
            <w:vAlign w:val="center"/>
            <w:hideMark/>
          </w:tcPr>
          <w:p w14:paraId="1AC95CF3" w14:textId="77777777" w:rsidR="00C57D5C" w:rsidRPr="00C57D5C" w:rsidRDefault="00C57D5C" w:rsidP="00C57D5C">
            <w:pPr>
              <w:spacing w:after="0"/>
              <w:ind w:firstLine="709"/>
              <w:jc w:val="both"/>
              <w:rPr>
                <w:lang w:val="en-US"/>
              </w:rPr>
            </w:pPr>
            <w:r w:rsidRPr="00C57D5C">
              <w:rPr>
                <w:lang w:val="en-US"/>
              </w:rPr>
              <w:t>40–50 mL/kg/min</w:t>
            </w:r>
          </w:p>
        </w:tc>
        <w:tc>
          <w:tcPr>
            <w:tcW w:w="0" w:type="auto"/>
            <w:vAlign w:val="center"/>
            <w:hideMark/>
          </w:tcPr>
          <w:p w14:paraId="39FF9BF6" w14:textId="77777777" w:rsidR="00C57D5C" w:rsidRPr="00C57D5C" w:rsidRDefault="00C57D5C" w:rsidP="00C57D5C">
            <w:pPr>
              <w:spacing w:after="0"/>
              <w:ind w:firstLine="709"/>
              <w:jc w:val="both"/>
              <w:rPr>
                <w:lang w:val="en-US"/>
              </w:rPr>
            </w:pPr>
            <w:r w:rsidRPr="00C57D5C">
              <w:rPr>
                <w:lang w:val="en-US"/>
              </w:rPr>
              <w:t>Improving aerobic capacity; up from 45 last week.</w:t>
            </w:r>
          </w:p>
        </w:tc>
      </w:tr>
      <w:tr w:rsidR="00C57D5C" w:rsidRPr="00C57D5C" w14:paraId="27ABB1A1" w14:textId="77777777">
        <w:trPr>
          <w:tblCellSpacing w:w="15" w:type="dxa"/>
        </w:trPr>
        <w:tc>
          <w:tcPr>
            <w:tcW w:w="0" w:type="auto"/>
            <w:vAlign w:val="center"/>
            <w:hideMark/>
          </w:tcPr>
          <w:p w14:paraId="4100B5D7" w14:textId="77777777" w:rsidR="00C57D5C" w:rsidRPr="00C57D5C" w:rsidRDefault="00C57D5C" w:rsidP="00C57D5C">
            <w:pPr>
              <w:spacing w:after="0"/>
              <w:ind w:firstLine="709"/>
              <w:jc w:val="both"/>
              <w:rPr>
                <w:lang w:val="en-US"/>
              </w:rPr>
            </w:pPr>
            <w:r w:rsidRPr="00C57D5C">
              <w:rPr>
                <w:lang w:val="en-US"/>
              </w:rPr>
              <w:t>White Blood Cell Count</w:t>
            </w:r>
          </w:p>
        </w:tc>
        <w:tc>
          <w:tcPr>
            <w:tcW w:w="0" w:type="auto"/>
            <w:vAlign w:val="center"/>
            <w:hideMark/>
          </w:tcPr>
          <w:p w14:paraId="534CD5A4" w14:textId="77777777" w:rsidR="00C57D5C" w:rsidRPr="00C57D5C" w:rsidRDefault="00C57D5C" w:rsidP="00C57D5C">
            <w:pPr>
              <w:spacing w:after="0"/>
              <w:ind w:firstLine="709"/>
              <w:jc w:val="both"/>
              <w:rPr>
                <w:lang w:val="en-US"/>
              </w:rPr>
            </w:pPr>
            <w:r w:rsidRPr="00C57D5C">
              <w:rPr>
                <w:lang w:val="en-US"/>
              </w:rPr>
              <w:t>6,400/µL</w:t>
            </w:r>
          </w:p>
        </w:tc>
        <w:tc>
          <w:tcPr>
            <w:tcW w:w="0" w:type="auto"/>
            <w:vAlign w:val="center"/>
            <w:hideMark/>
          </w:tcPr>
          <w:p w14:paraId="45ACDAEE" w14:textId="77777777" w:rsidR="00C57D5C" w:rsidRPr="00C57D5C" w:rsidRDefault="00C57D5C" w:rsidP="00C57D5C">
            <w:pPr>
              <w:spacing w:after="0"/>
              <w:ind w:firstLine="709"/>
              <w:jc w:val="both"/>
              <w:rPr>
                <w:lang w:val="en-US"/>
              </w:rPr>
            </w:pPr>
            <w:r w:rsidRPr="00C57D5C">
              <w:rPr>
                <w:lang w:val="en-US"/>
              </w:rPr>
              <w:t>4,000–10,000/µL</w:t>
            </w:r>
          </w:p>
        </w:tc>
        <w:tc>
          <w:tcPr>
            <w:tcW w:w="0" w:type="auto"/>
            <w:vAlign w:val="center"/>
            <w:hideMark/>
          </w:tcPr>
          <w:p w14:paraId="1357BAF3" w14:textId="77777777" w:rsidR="00C57D5C" w:rsidRPr="00C57D5C" w:rsidRDefault="00C57D5C" w:rsidP="00C57D5C">
            <w:pPr>
              <w:spacing w:after="0"/>
              <w:ind w:firstLine="709"/>
              <w:jc w:val="both"/>
              <w:rPr>
                <w:lang w:val="en-US"/>
              </w:rPr>
            </w:pPr>
            <w:r w:rsidRPr="00C57D5C">
              <w:rPr>
                <w:lang w:val="en-US"/>
              </w:rPr>
              <w:t>Healthy immune response maintained.</w:t>
            </w:r>
          </w:p>
        </w:tc>
      </w:tr>
      <w:tr w:rsidR="00C57D5C" w:rsidRPr="00C57D5C" w14:paraId="3641BBA1" w14:textId="77777777">
        <w:trPr>
          <w:tblCellSpacing w:w="15" w:type="dxa"/>
        </w:trPr>
        <w:tc>
          <w:tcPr>
            <w:tcW w:w="0" w:type="auto"/>
            <w:vAlign w:val="center"/>
            <w:hideMark/>
          </w:tcPr>
          <w:p w14:paraId="00CA2D8E" w14:textId="77777777" w:rsidR="00C57D5C" w:rsidRPr="00C57D5C" w:rsidRDefault="00C57D5C" w:rsidP="00C57D5C">
            <w:pPr>
              <w:spacing w:after="0"/>
              <w:ind w:firstLine="709"/>
              <w:jc w:val="both"/>
              <w:rPr>
                <w:lang w:val="en-US"/>
              </w:rPr>
            </w:pPr>
            <w:r w:rsidRPr="00C57D5C">
              <w:rPr>
                <w:lang w:val="en-US"/>
              </w:rPr>
              <w:lastRenderedPageBreak/>
              <w:t>CRP (Inflammation)</w:t>
            </w:r>
          </w:p>
        </w:tc>
        <w:tc>
          <w:tcPr>
            <w:tcW w:w="0" w:type="auto"/>
            <w:vAlign w:val="center"/>
            <w:hideMark/>
          </w:tcPr>
          <w:p w14:paraId="67425FAC" w14:textId="77777777" w:rsidR="00C57D5C" w:rsidRPr="00C57D5C" w:rsidRDefault="00C57D5C" w:rsidP="00C57D5C">
            <w:pPr>
              <w:spacing w:after="0"/>
              <w:ind w:firstLine="709"/>
              <w:jc w:val="both"/>
              <w:rPr>
                <w:lang w:val="en-US"/>
              </w:rPr>
            </w:pPr>
            <w:r w:rsidRPr="00C57D5C">
              <w:rPr>
                <w:lang w:val="en-US"/>
              </w:rPr>
              <w:t>1.8 mg/L</w:t>
            </w:r>
          </w:p>
        </w:tc>
        <w:tc>
          <w:tcPr>
            <w:tcW w:w="0" w:type="auto"/>
            <w:vAlign w:val="center"/>
            <w:hideMark/>
          </w:tcPr>
          <w:p w14:paraId="785D4770" w14:textId="77777777" w:rsidR="00C57D5C" w:rsidRPr="00C57D5C" w:rsidRDefault="00C57D5C" w:rsidP="00C57D5C">
            <w:pPr>
              <w:spacing w:after="0"/>
              <w:ind w:firstLine="709"/>
              <w:jc w:val="both"/>
              <w:rPr>
                <w:lang w:val="en-US"/>
              </w:rPr>
            </w:pPr>
            <w:r w:rsidRPr="00C57D5C">
              <w:rPr>
                <w:lang w:val="en-US"/>
              </w:rPr>
              <w:t>&lt;3 mg/L</w:t>
            </w:r>
          </w:p>
        </w:tc>
        <w:tc>
          <w:tcPr>
            <w:tcW w:w="0" w:type="auto"/>
            <w:vAlign w:val="center"/>
            <w:hideMark/>
          </w:tcPr>
          <w:p w14:paraId="2D8A85F4" w14:textId="77777777" w:rsidR="00C57D5C" w:rsidRPr="00C57D5C" w:rsidRDefault="00C57D5C" w:rsidP="00C57D5C">
            <w:pPr>
              <w:spacing w:after="0"/>
              <w:ind w:firstLine="709"/>
              <w:jc w:val="both"/>
              <w:rPr>
                <w:lang w:val="en-US"/>
              </w:rPr>
            </w:pPr>
            <w:r w:rsidRPr="00C57D5C">
              <w:rPr>
                <w:lang w:val="en-US"/>
              </w:rPr>
              <w:t>Stable, showing controlled inflammation despite increased load.</w:t>
            </w:r>
          </w:p>
        </w:tc>
      </w:tr>
      <w:tr w:rsidR="00C57D5C" w:rsidRPr="00C57D5C" w14:paraId="174B5FB1" w14:textId="77777777">
        <w:trPr>
          <w:tblCellSpacing w:w="15" w:type="dxa"/>
        </w:trPr>
        <w:tc>
          <w:tcPr>
            <w:tcW w:w="0" w:type="auto"/>
            <w:vAlign w:val="center"/>
            <w:hideMark/>
          </w:tcPr>
          <w:p w14:paraId="12C7EF1A" w14:textId="77777777" w:rsidR="00C57D5C" w:rsidRPr="00C57D5C" w:rsidRDefault="00C57D5C" w:rsidP="00C57D5C">
            <w:pPr>
              <w:spacing w:after="0"/>
              <w:ind w:firstLine="709"/>
              <w:jc w:val="both"/>
              <w:rPr>
                <w:lang w:val="en-US"/>
              </w:rPr>
            </w:pPr>
            <w:r w:rsidRPr="00C57D5C">
              <w:rPr>
                <w:lang w:val="en-US"/>
              </w:rPr>
              <w:t>Hemoglobin</w:t>
            </w:r>
          </w:p>
        </w:tc>
        <w:tc>
          <w:tcPr>
            <w:tcW w:w="0" w:type="auto"/>
            <w:vAlign w:val="center"/>
            <w:hideMark/>
          </w:tcPr>
          <w:p w14:paraId="1B2C633B" w14:textId="77777777" w:rsidR="00C57D5C" w:rsidRPr="00C57D5C" w:rsidRDefault="00C57D5C" w:rsidP="00C57D5C">
            <w:pPr>
              <w:spacing w:after="0"/>
              <w:ind w:firstLine="709"/>
              <w:jc w:val="both"/>
              <w:rPr>
                <w:lang w:val="en-US"/>
              </w:rPr>
            </w:pPr>
            <w:r w:rsidRPr="00C57D5C">
              <w:rPr>
                <w:lang w:val="en-US"/>
              </w:rPr>
              <w:t>14.7 g/dL</w:t>
            </w:r>
          </w:p>
        </w:tc>
        <w:tc>
          <w:tcPr>
            <w:tcW w:w="0" w:type="auto"/>
            <w:vAlign w:val="center"/>
            <w:hideMark/>
          </w:tcPr>
          <w:p w14:paraId="10E79D69" w14:textId="77777777" w:rsidR="00C57D5C" w:rsidRPr="00C57D5C" w:rsidRDefault="00C57D5C" w:rsidP="00C57D5C">
            <w:pPr>
              <w:spacing w:after="0"/>
              <w:ind w:firstLine="709"/>
              <w:jc w:val="both"/>
              <w:rPr>
                <w:lang w:val="en-US"/>
              </w:rPr>
            </w:pPr>
            <w:r w:rsidRPr="00C57D5C">
              <w:rPr>
                <w:lang w:val="en-US"/>
              </w:rPr>
              <w:t>13.5–17.5 g/dL</w:t>
            </w:r>
          </w:p>
        </w:tc>
        <w:tc>
          <w:tcPr>
            <w:tcW w:w="0" w:type="auto"/>
            <w:vAlign w:val="center"/>
            <w:hideMark/>
          </w:tcPr>
          <w:p w14:paraId="208E89DB" w14:textId="77777777" w:rsidR="00C57D5C" w:rsidRPr="00C57D5C" w:rsidRDefault="00C57D5C" w:rsidP="00C57D5C">
            <w:pPr>
              <w:spacing w:after="0"/>
              <w:ind w:firstLine="709"/>
              <w:jc w:val="both"/>
              <w:rPr>
                <w:lang w:val="en-US"/>
              </w:rPr>
            </w:pPr>
            <w:r w:rsidRPr="00C57D5C">
              <w:rPr>
                <w:lang w:val="en-US"/>
              </w:rPr>
              <w:t>Stable, supporting oxygen transport.</w:t>
            </w:r>
          </w:p>
        </w:tc>
      </w:tr>
      <w:tr w:rsidR="00C57D5C" w:rsidRPr="00C57D5C" w14:paraId="0EFDA34D" w14:textId="77777777">
        <w:trPr>
          <w:tblCellSpacing w:w="15" w:type="dxa"/>
        </w:trPr>
        <w:tc>
          <w:tcPr>
            <w:tcW w:w="0" w:type="auto"/>
            <w:vAlign w:val="center"/>
            <w:hideMark/>
          </w:tcPr>
          <w:p w14:paraId="41A2C791" w14:textId="77777777" w:rsidR="00C57D5C" w:rsidRPr="00C57D5C" w:rsidRDefault="00C57D5C" w:rsidP="00C57D5C">
            <w:pPr>
              <w:spacing w:after="0"/>
              <w:ind w:firstLine="709"/>
              <w:jc w:val="both"/>
              <w:rPr>
                <w:lang w:val="en-US"/>
              </w:rPr>
            </w:pPr>
            <w:r w:rsidRPr="00C57D5C">
              <w:rPr>
                <w:lang w:val="en-US"/>
              </w:rPr>
              <w:t>Creatine Kinase (Muscle)</w:t>
            </w:r>
          </w:p>
        </w:tc>
        <w:tc>
          <w:tcPr>
            <w:tcW w:w="0" w:type="auto"/>
            <w:vAlign w:val="center"/>
            <w:hideMark/>
          </w:tcPr>
          <w:p w14:paraId="1CCEDD58" w14:textId="77777777" w:rsidR="00C57D5C" w:rsidRPr="00C57D5C" w:rsidRDefault="00C57D5C" w:rsidP="00C57D5C">
            <w:pPr>
              <w:spacing w:after="0"/>
              <w:ind w:firstLine="709"/>
              <w:jc w:val="both"/>
              <w:rPr>
                <w:lang w:val="en-US"/>
              </w:rPr>
            </w:pPr>
            <w:r w:rsidRPr="00C57D5C">
              <w:rPr>
                <w:lang w:val="en-US"/>
              </w:rPr>
              <w:t>235 U/L</w:t>
            </w:r>
          </w:p>
        </w:tc>
        <w:tc>
          <w:tcPr>
            <w:tcW w:w="0" w:type="auto"/>
            <w:vAlign w:val="center"/>
            <w:hideMark/>
          </w:tcPr>
          <w:p w14:paraId="470E4060" w14:textId="77777777" w:rsidR="00C57D5C" w:rsidRPr="00C57D5C" w:rsidRDefault="00C57D5C" w:rsidP="00C57D5C">
            <w:pPr>
              <w:spacing w:after="0"/>
              <w:ind w:firstLine="709"/>
              <w:jc w:val="both"/>
              <w:rPr>
                <w:lang w:val="en-US"/>
              </w:rPr>
            </w:pPr>
            <w:r w:rsidRPr="00C57D5C">
              <w:rPr>
                <w:lang w:val="en-US"/>
              </w:rPr>
              <w:t>&lt;200–250 U/L</w:t>
            </w:r>
          </w:p>
        </w:tc>
        <w:tc>
          <w:tcPr>
            <w:tcW w:w="0" w:type="auto"/>
            <w:vAlign w:val="center"/>
            <w:hideMark/>
          </w:tcPr>
          <w:p w14:paraId="08C880B0" w14:textId="77777777" w:rsidR="00C57D5C" w:rsidRPr="00C57D5C" w:rsidRDefault="00C57D5C" w:rsidP="00C57D5C">
            <w:pPr>
              <w:spacing w:after="0"/>
              <w:ind w:firstLine="709"/>
              <w:jc w:val="both"/>
              <w:rPr>
                <w:lang w:val="en-US"/>
              </w:rPr>
            </w:pPr>
            <w:r w:rsidRPr="00C57D5C">
              <w:rPr>
                <w:lang w:val="en-US"/>
              </w:rPr>
              <w:t>Slightly elevated but within expected range for strength-endurance phase.</w:t>
            </w:r>
          </w:p>
        </w:tc>
      </w:tr>
      <w:tr w:rsidR="00C57D5C" w:rsidRPr="00C57D5C" w14:paraId="071AAE62" w14:textId="77777777">
        <w:trPr>
          <w:tblCellSpacing w:w="15" w:type="dxa"/>
        </w:trPr>
        <w:tc>
          <w:tcPr>
            <w:tcW w:w="0" w:type="auto"/>
            <w:vAlign w:val="center"/>
            <w:hideMark/>
          </w:tcPr>
          <w:p w14:paraId="336E7FC3" w14:textId="77777777" w:rsidR="00C57D5C" w:rsidRPr="00C57D5C" w:rsidRDefault="00C57D5C" w:rsidP="00C57D5C">
            <w:pPr>
              <w:spacing w:after="0"/>
              <w:ind w:firstLine="709"/>
              <w:jc w:val="both"/>
              <w:rPr>
                <w:lang w:val="en-US"/>
              </w:rPr>
            </w:pPr>
            <w:r w:rsidRPr="00C57D5C">
              <w:rPr>
                <w:lang w:val="en-US"/>
              </w:rPr>
              <w:t>Recovery Index (Sleep/HRV)</w:t>
            </w:r>
          </w:p>
        </w:tc>
        <w:tc>
          <w:tcPr>
            <w:tcW w:w="0" w:type="auto"/>
            <w:vAlign w:val="center"/>
            <w:hideMark/>
          </w:tcPr>
          <w:p w14:paraId="31283DEC" w14:textId="77777777" w:rsidR="00C57D5C" w:rsidRPr="00C57D5C" w:rsidRDefault="00C57D5C" w:rsidP="00C57D5C">
            <w:pPr>
              <w:spacing w:after="0"/>
              <w:ind w:firstLine="709"/>
              <w:jc w:val="both"/>
              <w:rPr>
                <w:lang w:val="en-US"/>
              </w:rPr>
            </w:pPr>
            <w:r w:rsidRPr="00C57D5C">
              <w:rPr>
                <w:lang w:val="en-US"/>
              </w:rPr>
              <w:t>Good</w:t>
            </w:r>
          </w:p>
        </w:tc>
        <w:tc>
          <w:tcPr>
            <w:tcW w:w="0" w:type="auto"/>
            <w:vAlign w:val="center"/>
            <w:hideMark/>
          </w:tcPr>
          <w:p w14:paraId="6FDC57A8" w14:textId="77777777" w:rsidR="00C57D5C" w:rsidRPr="00C57D5C" w:rsidRDefault="00C57D5C" w:rsidP="00C57D5C">
            <w:pPr>
              <w:spacing w:after="0"/>
              <w:ind w:firstLine="709"/>
              <w:jc w:val="both"/>
              <w:rPr>
                <w:lang w:val="en-US"/>
              </w:rPr>
            </w:pPr>
            <w:r w:rsidRPr="00C57D5C">
              <w:rPr>
                <w:lang w:val="en-US"/>
              </w:rPr>
              <w:t>—</w:t>
            </w:r>
          </w:p>
        </w:tc>
        <w:tc>
          <w:tcPr>
            <w:tcW w:w="0" w:type="auto"/>
            <w:vAlign w:val="center"/>
            <w:hideMark/>
          </w:tcPr>
          <w:p w14:paraId="731BA876" w14:textId="77777777" w:rsidR="00C57D5C" w:rsidRPr="00C57D5C" w:rsidRDefault="00C57D5C" w:rsidP="00C57D5C">
            <w:pPr>
              <w:spacing w:after="0"/>
              <w:ind w:firstLine="709"/>
              <w:jc w:val="both"/>
              <w:rPr>
                <w:lang w:val="en-US"/>
              </w:rPr>
            </w:pPr>
            <w:r w:rsidRPr="00C57D5C">
              <w:rPr>
                <w:lang w:val="en-US"/>
              </w:rPr>
              <w:t>Maintained, though sleep flagged as a key performance support.</w:t>
            </w:r>
          </w:p>
        </w:tc>
      </w:tr>
      <w:tr w:rsidR="00C57D5C" w:rsidRPr="00C57D5C" w14:paraId="480F2EE4" w14:textId="77777777">
        <w:trPr>
          <w:tblCellSpacing w:w="15" w:type="dxa"/>
        </w:trPr>
        <w:tc>
          <w:tcPr>
            <w:tcW w:w="0" w:type="auto"/>
            <w:vAlign w:val="center"/>
            <w:hideMark/>
          </w:tcPr>
          <w:p w14:paraId="25A08E4A" w14:textId="77777777" w:rsidR="00C57D5C" w:rsidRPr="00C57D5C" w:rsidRDefault="00C57D5C" w:rsidP="00C57D5C">
            <w:pPr>
              <w:spacing w:after="0"/>
              <w:ind w:firstLine="709"/>
              <w:jc w:val="both"/>
              <w:rPr>
                <w:lang w:val="en-US"/>
              </w:rPr>
            </w:pPr>
            <w:r w:rsidRPr="00C57D5C">
              <w:rPr>
                <w:lang w:val="en-US"/>
              </w:rPr>
              <w:t>Weight</w:t>
            </w:r>
          </w:p>
        </w:tc>
        <w:tc>
          <w:tcPr>
            <w:tcW w:w="0" w:type="auto"/>
            <w:vAlign w:val="center"/>
            <w:hideMark/>
          </w:tcPr>
          <w:p w14:paraId="1B7F7890" w14:textId="77777777" w:rsidR="00C57D5C" w:rsidRPr="00C57D5C" w:rsidRDefault="00C57D5C" w:rsidP="00C57D5C">
            <w:pPr>
              <w:spacing w:after="0"/>
              <w:ind w:firstLine="709"/>
              <w:jc w:val="both"/>
              <w:rPr>
                <w:lang w:val="en-US"/>
              </w:rPr>
            </w:pPr>
            <w:r w:rsidRPr="00C57D5C">
              <w:rPr>
                <w:lang w:val="en-US"/>
              </w:rPr>
              <w:t>69.3 kg</w:t>
            </w:r>
          </w:p>
        </w:tc>
        <w:tc>
          <w:tcPr>
            <w:tcW w:w="0" w:type="auto"/>
            <w:vAlign w:val="center"/>
            <w:hideMark/>
          </w:tcPr>
          <w:p w14:paraId="0440F153" w14:textId="77777777" w:rsidR="00C57D5C" w:rsidRPr="00C57D5C" w:rsidRDefault="00C57D5C" w:rsidP="00C57D5C">
            <w:pPr>
              <w:spacing w:after="0"/>
              <w:ind w:firstLine="709"/>
              <w:jc w:val="both"/>
              <w:rPr>
                <w:lang w:val="en-US"/>
              </w:rPr>
            </w:pPr>
            <w:r w:rsidRPr="00C57D5C">
              <w:rPr>
                <w:lang w:val="en-US"/>
              </w:rPr>
              <w:t>—</w:t>
            </w:r>
          </w:p>
        </w:tc>
        <w:tc>
          <w:tcPr>
            <w:tcW w:w="0" w:type="auto"/>
            <w:vAlign w:val="center"/>
            <w:hideMark/>
          </w:tcPr>
          <w:p w14:paraId="4A76BBCB" w14:textId="77777777" w:rsidR="00C57D5C" w:rsidRPr="00C57D5C" w:rsidRDefault="00C57D5C" w:rsidP="00C57D5C">
            <w:pPr>
              <w:spacing w:after="0"/>
              <w:ind w:firstLine="709"/>
              <w:jc w:val="both"/>
              <w:rPr>
                <w:lang w:val="en-US"/>
              </w:rPr>
            </w:pPr>
            <w:r w:rsidRPr="00C57D5C">
              <w:rPr>
                <w:lang w:val="en-US"/>
              </w:rPr>
              <w:t>Stable; lean mass gain continues gradually.</w:t>
            </w:r>
          </w:p>
        </w:tc>
      </w:tr>
      <w:tr w:rsidR="00C57D5C" w:rsidRPr="00C57D5C" w14:paraId="13A5EEFC" w14:textId="77777777">
        <w:trPr>
          <w:tblCellSpacing w:w="15" w:type="dxa"/>
        </w:trPr>
        <w:tc>
          <w:tcPr>
            <w:tcW w:w="0" w:type="auto"/>
            <w:vAlign w:val="center"/>
            <w:hideMark/>
          </w:tcPr>
          <w:p w14:paraId="0986B9FF" w14:textId="77777777" w:rsidR="00C57D5C" w:rsidRPr="00C57D5C" w:rsidRDefault="00C57D5C" w:rsidP="00C57D5C">
            <w:pPr>
              <w:spacing w:after="0"/>
              <w:ind w:firstLine="709"/>
              <w:jc w:val="both"/>
              <w:rPr>
                <w:lang w:val="en-US"/>
              </w:rPr>
            </w:pPr>
            <w:r w:rsidRPr="00C57D5C">
              <w:rPr>
                <w:lang w:val="en-US"/>
              </w:rPr>
              <w:t>Agility/Balance Score</w:t>
            </w:r>
          </w:p>
        </w:tc>
        <w:tc>
          <w:tcPr>
            <w:tcW w:w="0" w:type="auto"/>
            <w:vAlign w:val="center"/>
            <w:hideMark/>
          </w:tcPr>
          <w:p w14:paraId="109A24F6" w14:textId="77777777" w:rsidR="00C57D5C" w:rsidRPr="00C57D5C" w:rsidRDefault="00C57D5C" w:rsidP="00C57D5C">
            <w:pPr>
              <w:spacing w:after="0"/>
              <w:ind w:firstLine="709"/>
              <w:jc w:val="both"/>
              <w:rPr>
                <w:lang w:val="en-US"/>
              </w:rPr>
            </w:pPr>
            <w:r w:rsidRPr="00C57D5C">
              <w:rPr>
                <w:lang w:val="en-US"/>
              </w:rPr>
              <w:t>8.0/10</w:t>
            </w:r>
          </w:p>
        </w:tc>
        <w:tc>
          <w:tcPr>
            <w:tcW w:w="0" w:type="auto"/>
            <w:vAlign w:val="center"/>
            <w:hideMark/>
          </w:tcPr>
          <w:p w14:paraId="0488A320" w14:textId="77777777" w:rsidR="00C57D5C" w:rsidRPr="00C57D5C" w:rsidRDefault="00C57D5C" w:rsidP="00C57D5C">
            <w:pPr>
              <w:spacing w:after="0"/>
              <w:ind w:firstLine="709"/>
              <w:jc w:val="both"/>
              <w:rPr>
                <w:lang w:val="en-US"/>
              </w:rPr>
            </w:pPr>
            <w:r w:rsidRPr="00C57D5C">
              <w:rPr>
                <w:lang w:val="en-US"/>
              </w:rPr>
              <w:t>7–9 balanced</w:t>
            </w:r>
          </w:p>
        </w:tc>
        <w:tc>
          <w:tcPr>
            <w:tcW w:w="0" w:type="auto"/>
            <w:vAlign w:val="center"/>
            <w:hideMark/>
          </w:tcPr>
          <w:p w14:paraId="08E6A71E" w14:textId="77777777" w:rsidR="00C57D5C" w:rsidRPr="00C57D5C" w:rsidRDefault="00C57D5C" w:rsidP="00C57D5C">
            <w:pPr>
              <w:spacing w:after="0"/>
              <w:ind w:firstLine="709"/>
              <w:jc w:val="both"/>
              <w:rPr>
                <w:lang w:val="en-US"/>
              </w:rPr>
            </w:pPr>
            <w:r w:rsidRPr="00C57D5C">
              <w:rPr>
                <w:lang w:val="en-US"/>
              </w:rPr>
              <w:t>Sustained improvement.</w:t>
            </w:r>
          </w:p>
        </w:tc>
      </w:tr>
      <w:tr w:rsidR="00C57D5C" w:rsidRPr="00C57D5C" w14:paraId="299EB1C4" w14:textId="77777777">
        <w:trPr>
          <w:tblCellSpacing w:w="15" w:type="dxa"/>
        </w:trPr>
        <w:tc>
          <w:tcPr>
            <w:tcW w:w="0" w:type="auto"/>
            <w:vAlign w:val="center"/>
            <w:hideMark/>
          </w:tcPr>
          <w:p w14:paraId="5FCDFF27" w14:textId="77777777" w:rsidR="00C57D5C" w:rsidRPr="00C57D5C" w:rsidRDefault="00C57D5C" w:rsidP="00C57D5C">
            <w:pPr>
              <w:spacing w:after="0"/>
              <w:ind w:firstLine="709"/>
              <w:jc w:val="both"/>
              <w:rPr>
                <w:lang w:val="en-US"/>
              </w:rPr>
            </w:pPr>
            <w:r w:rsidRPr="00C57D5C">
              <w:rPr>
                <w:lang w:val="en-US"/>
              </w:rPr>
              <w:t>Mood Stability Index</w:t>
            </w:r>
          </w:p>
        </w:tc>
        <w:tc>
          <w:tcPr>
            <w:tcW w:w="0" w:type="auto"/>
            <w:vAlign w:val="center"/>
            <w:hideMark/>
          </w:tcPr>
          <w:p w14:paraId="7CC2718D" w14:textId="77777777" w:rsidR="00C57D5C" w:rsidRPr="00C57D5C" w:rsidRDefault="00C57D5C" w:rsidP="00C57D5C">
            <w:pPr>
              <w:spacing w:after="0"/>
              <w:ind w:firstLine="709"/>
              <w:jc w:val="both"/>
              <w:rPr>
                <w:lang w:val="en-US"/>
              </w:rPr>
            </w:pPr>
            <w:r w:rsidRPr="00C57D5C">
              <w:rPr>
                <w:lang w:val="en-US"/>
              </w:rPr>
              <w:t>8.1/10</w:t>
            </w:r>
          </w:p>
        </w:tc>
        <w:tc>
          <w:tcPr>
            <w:tcW w:w="0" w:type="auto"/>
            <w:vAlign w:val="center"/>
            <w:hideMark/>
          </w:tcPr>
          <w:p w14:paraId="4A8B2E20" w14:textId="77777777" w:rsidR="00C57D5C" w:rsidRPr="00C57D5C" w:rsidRDefault="00C57D5C" w:rsidP="00C57D5C">
            <w:pPr>
              <w:spacing w:after="0"/>
              <w:ind w:firstLine="709"/>
              <w:jc w:val="both"/>
              <w:rPr>
                <w:lang w:val="en-US"/>
              </w:rPr>
            </w:pPr>
            <w:r w:rsidRPr="00C57D5C">
              <w:rPr>
                <w:lang w:val="en-US"/>
              </w:rPr>
              <w:t>7–9 balanced</w:t>
            </w:r>
          </w:p>
        </w:tc>
        <w:tc>
          <w:tcPr>
            <w:tcW w:w="0" w:type="auto"/>
            <w:vAlign w:val="center"/>
            <w:hideMark/>
          </w:tcPr>
          <w:p w14:paraId="58755DDC" w14:textId="77777777" w:rsidR="00C57D5C" w:rsidRPr="00C57D5C" w:rsidRDefault="00C57D5C" w:rsidP="00C57D5C">
            <w:pPr>
              <w:spacing w:after="0"/>
              <w:ind w:firstLine="709"/>
              <w:jc w:val="both"/>
              <w:rPr>
                <w:lang w:val="en-US"/>
              </w:rPr>
            </w:pPr>
            <w:r w:rsidRPr="00C57D5C">
              <w:rPr>
                <w:lang w:val="en-US"/>
              </w:rPr>
              <w:t>Positive, aided by visualization and pacing support.</w:t>
            </w:r>
          </w:p>
        </w:tc>
      </w:tr>
      <w:tr w:rsidR="00C57D5C" w:rsidRPr="00C57D5C" w14:paraId="6504ABCF" w14:textId="77777777">
        <w:trPr>
          <w:tblCellSpacing w:w="15" w:type="dxa"/>
        </w:trPr>
        <w:tc>
          <w:tcPr>
            <w:tcW w:w="0" w:type="auto"/>
            <w:vAlign w:val="center"/>
            <w:hideMark/>
          </w:tcPr>
          <w:p w14:paraId="481674CF" w14:textId="77777777" w:rsidR="00C57D5C" w:rsidRPr="00C57D5C" w:rsidRDefault="00C57D5C" w:rsidP="00C57D5C">
            <w:pPr>
              <w:spacing w:after="0"/>
              <w:ind w:firstLine="709"/>
              <w:jc w:val="both"/>
              <w:rPr>
                <w:lang w:val="en-US"/>
              </w:rPr>
            </w:pPr>
            <w:r w:rsidRPr="00C57D5C">
              <w:rPr>
                <w:lang w:val="en-US"/>
              </w:rPr>
              <w:t>Training Compliance</w:t>
            </w:r>
          </w:p>
        </w:tc>
        <w:tc>
          <w:tcPr>
            <w:tcW w:w="0" w:type="auto"/>
            <w:vAlign w:val="center"/>
            <w:hideMark/>
          </w:tcPr>
          <w:p w14:paraId="208C036A" w14:textId="77777777" w:rsidR="00C57D5C" w:rsidRPr="00C57D5C" w:rsidRDefault="00C57D5C" w:rsidP="00C57D5C">
            <w:pPr>
              <w:spacing w:after="0"/>
              <w:ind w:firstLine="709"/>
              <w:jc w:val="both"/>
              <w:rPr>
                <w:lang w:val="en-US"/>
              </w:rPr>
            </w:pPr>
            <w:r w:rsidRPr="00C57D5C">
              <w:rPr>
                <w:lang w:val="en-US"/>
              </w:rPr>
              <w:t>Very High</w:t>
            </w:r>
          </w:p>
        </w:tc>
        <w:tc>
          <w:tcPr>
            <w:tcW w:w="0" w:type="auto"/>
            <w:vAlign w:val="center"/>
            <w:hideMark/>
          </w:tcPr>
          <w:p w14:paraId="366BC7A9" w14:textId="77777777" w:rsidR="00C57D5C" w:rsidRPr="00C57D5C" w:rsidRDefault="00C57D5C" w:rsidP="00C57D5C">
            <w:pPr>
              <w:spacing w:after="0"/>
              <w:ind w:firstLine="709"/>
              <w:jc w:val="both"/>
              <w:rPr>
                <w:lang w:val="en-US"/>
              </w:rPr>
            </w:pPr>
            <w:r w:rsidRPr="00C57D5C">
              <w:rPr>
                <w:lang w:val="en-US"/>
              </w:rPr>
              <w:t>—</w:t>
            </w:r>
          </w:p>
        </w:tc>
        <w:tc>
          <w:tcPr>
            <w:tcW w:w="0" w:type="auto"/>
            <w:vAlign w:val="center"/>
            <w:hideMark/>
          </w:tcPr>
          <w:p w14:paraId="5FD7632D" w14:textId="77777777" w:rsidR="00C57D5C" w:rsidRPr="00C57D5C" w:rsidRDefault="00C57D5C" w:rsidP="00C57D5C">
            <w:pPr>
              <w:spacing w:after="0"/>
              <w:ind w:firstLine="709"/>
              <w:jc w:val="both"/>
              <w:rPr>
                <w:lang w:val="en-US"/>
              </w:rPr>
            </w:pPr>
            <w:r w:rsidRPr="00C57D5C">
              <w:rPr>
                <w:lang w:val="en-US"/>
              </w:rPr>
              <w:t>Aarav executed the new structured plan with precision and detail.</w:t>
            </w:r>
          </w:p>
        </w:tc>
      </w:tr>
    </w:tbl>
    <w:p w14:paraId="03F08719" w14:textId="77777777" w:rsidR="00F12C76" w:rsidRPr="00C57D5C" w:rsidRDefault="00F12C76" w:rsidP="006C0B77">
      <w:pPr>
        <w:spacing w:after="0"/>
        <w:ind w:firstLine="709"/>
        <w:jc w:val="both"/>
        <w:rPr>
          <w:lang w:val="en-US"/>
        </w:rPr>
      </w:pPr>
    </w:p>
    <w:sectPr w:rsidR="00F12C76" w:rsidRPr="00C57D5C"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C"/>
    <w:rsid w:val="00413883"/>
    <w:rsid w:val="00450B95"/>
    <w:rsid w:val="006C0B77"/>
    <w:rsid w:val="008242FF"/>
    <w:rsid w:val="00870751"/>
    <w:rsid w:val="00922C48"/>
    <w:rsid w:val="00B915B7"/>
    <w:rsid w:val="00C57D5C"/>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B337C"/>
  <w15:chartTrackingRefBased/>
  <w15:docId w15:val="{1574E46B-5FC6-4D17-A5CA-EB3C8AAF4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paragraph" w:styleId="Heading1">
    <w:name w:val="heading 1"/>
    <w:basedOn w:val="Normal"/>
    <w:next w:val="Normal"/>
    <w:link w:val="Heading1Char"/>
    <w:uiPriority w:val="9"/>
    <w:qFormat/>
    <w:rsid w:val="00C57D5C"/>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57D5C"/>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57D5C"/>
    <w:pPr>
      <w:keepNext/>
      <w:keepLines/>
      <w:spacing w:before="160" w:after="80"/>
      <w:outlineLvl w:val="2"/>
    </w:pPr>
    <w:rPr>
      <w:rFonts w:asciiTheme="minorHAnsi" w:eastAsiaTheme="majorEastAsia" w:hAnsiTheme="minorHAnsi" w:cstheme="majorBidi"/>
      <w:color w:val="2E74B5" w:themeColor="accent1" w:themeShade="BF"/>
      <w:szCs w:val="28"/>
    </w:rPr>
  </w:style>
  <w:style w:type="paragraph" w:styleId="Heading4">
    <w:name w:val="heading 4"/>
    <w:basedOn w:val="Normal"/>
    <w:next w:val="Normal"/>
    <w:link w:val="Heading4Char"/>
    <w:uiPriority w:val="9"/>
    <w:semiHidden/>
    <w:unhideWhenUsed/>
    <w:qFormat/>
    <w:rsid w:val="00C57D5C"/>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57D5C"/>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C57D5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57D5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57D5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57D5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D5C"/>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57D5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57D5C"/>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57D5C"/>
    <w:rPr>
      <w:rFonts w:eastAsiaTheme="majorEastAsia" w:cstheme="majorBidi"/>
      <w:i/>
      <w:iCs/>
      <w:color w:val="2E74B5" w:themeColor="accent1" w:themeShade="BF"/>
      <w:sz w:val="28"/>
    </w:rPr>
  </w:style>
  <w:style w:type="character" w:customStyle="1" w:styleId="Heading5Char">
    <w:name w:val="Heading 5 Char"/>
    <w:basedOn w:val="DefaultParagraphFont"/>
    <w:link w:val="Heading5"/>
    <w:uiPriority w:val="9"/>
    <w:semiHidden/>
    <w:rsid w:val="00C57D5C"/>
    <w:rPr>
      <w:rFonts w:eastAsiaTheme="majorEastAsia" w:cstheme="majorBidi"/>
      <w:color w:val="2E74B5" w:themeColor="accent1" w:themeShade="BF"/>
      <w:sz w:val="28"/>
    </w:rPr>
  </w:style>
  <w:style w:type="character" w:customStyle="1" w:styleId="Heading6Char">
    <w:name w:val="Heading 6 Char"/>
    <w:basedOn w:val="DefaultParagraphFont"/>
    <w:link w:val="Heading6"/>
    <w:uiPriority w:val="9"/>
    <w:semiHidden/>
    <w:rsid w:val="00C57D5C"/>
    <w:rPr>
      <w:rFonts w:eastAsiaTheme="majorEastAsia" w:cstheme="majorBidi"/>
      <w:i/>
      <w:iCs/>
      <w:color w:val="595959" w:themeColor="text1" w:themeTint="A6"/>
      <w:sz w:val="28"/>
    </w:rPr>
  </w:style>
  <w:style w:type="character" w:customStyle="1" w:styleId="Heading7Char">
    <w:name w:val="Heading 7 Char"/>
    <w:basedOn w:val="DefaultParagraphFont"/>
    <w:link w:val="Heading7"/>
    <w:uiPriority w:val="9"/>
    <w:semiHidden/>
    <w:rsid w:val="00C57D5C"/>
    <w:rPr>
      <w:rFonts w:eastAsiaTheme="majorEastAsia" w:cstheme="majorBidi"/>
      <w:color w:val="595959" w:themeColor="text1" w:themeTint="A6"/>
      <w:sz w:val="28"/>
    </w:rPr>
  </w:style>
  <w:style w:type="character" w:customStyle="1" w:styleId="Heading8Char">
    <w:name w:val="Heading 8 Char"/>
    <w:basedOn w:val="DefaultParagraphFont"/>
    <w:link w:val="Heading8"/>
    <w:uiPriority w:val="9"/>
    <w:semiHidden/>
    <w:rsid w:val="00C57D5C"/>
    <w:rPr>
      <w:rFonts w:eastAsiaTheme="majorEastAsia" w:cstheme="majorBidi"/>
      <w:i/>
      <w:iCs/>
      <w:color w:val="272727" w:themeColor="text1" w:themeTint="D8"/>
      <w:sz w:val="28"/>
    </w:rPr>
  </w:style>
  <w:style w:type="character" w:customStyle="1" w:styleId="Heading9Char">
    <w:name w:val="Heading 9 Char"/>
    <w:basedOn w:val="DefaultParagraphFont"/>
    <w:link w:val="Heading9"/>
    <w:uiPriority w:val="9"/>
    <w:semiHidden/>
    <w:rsid w:val="00C57D5C"/>
    <w:rPr>
      <w:rFonts w:eastAsiaTheme="majorEastAsia" w:cstheme="majorBidi"/>
      <w:color w:val="272727" w:themeColor="text1" w:themeTint="D8"/>
      <w:sz w:val="28"/>
    </w:rPr>
  </w:style>
  <w:style w:type="paragraph" w:styleId="Title">
    <w:name w:val="Title"/>
    <w:basedOn w:val="Normal"/>
    <w:next w:val="Normal"/>
    <w:link w:val="TitleChar"/>
    <w:uiPriority w:val="10"/>
    <w:qFormat/>
    <w:rsid w:val="00C57D5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D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D5C"/>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C57D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D5C"/>
    <w:pPr>
      <w:spacing w:before="160"/>
      <w:jc w:val="center"/>
    </w:pPr>
    <w:rPr>
      <w:i/>
      <w:iCs/>
      <w:color w:val="404040" w:themeColor="text1" w:themeTint="BF"/>
    </w:rPr>
  </w:style>
  <w:style w:type="character" w:customStyle="1" w:styleId="QuoteChar">
    <w:name w:val="Quote Char"/>
    <w:basedOn w:val="DefaultParagraphFont"/>
    <w:link w:val="Quote"/>
    <w:uiPriority w:val="29"/>
    <w:rsid w:val="00C57D5C"/>
    <w:rPr>
      <w:rFonts w:ascii="Times New Roman" w:hAnsi="Times New Roman"/>
      <w:i/>
      <w:iCs/>
      <w:color w:val="404040" w:themeColor="text1" w:themeTint="BF"/>
      <w:sz w:val="28"/>
    </w:rPr>
  </w:style>
  <w:style w:type="paragraph" w:styleId="ListParagraph">
    <w:name w:val="List Paragraph"/>
    <w:basedOn w:val="Normal"/>
    <w:uiPriority w:val="34"/>
    <w:qFormat/>
    <w:rsid w:val="00C57D5C"/>
    <w:pPr>
      <w:ind w:left="720"/>
      <w:contextualSpacing/>
    </w:pPr>
  </w:style>
  <w:style w:type="character" w:styleId="IntenseEmphasis">
    <w:name w:val="Intense Emphasis"/>
    <w:basedOn w:val="DefaultParagraphFont"/>
    <w:uiPriority w:val="21"/>
    <w:qFormat/>
    <w:rsid w:val="00C57D5C"/>
    <w:rPr>
      <w:i/>
      <w:iCs/>
      <w:color w:val="2E74B5" w:themeColor="accent1" w:themeShade="BF"/>
    </w:rPr>
  </w:style>
  <w:style w:type="paragraph" w:styleId="IntenseQuote">
    <w:name w:val="Intense Quote"/>
    <w:basedOn w:val="Normal"/>
    <w:next w:val="Normal"/>
    <w:link w:val="IntenseQuoteChar"/>
    <w:uiPriority w:val="30"/>
    <w:qFormat/>
    <w:rsid w:val="00C57D5C"/>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57D5C"/>
    <w:rPr>
      <w:rFonts w:ascii="Times New Roman" w:hAnsi="Times New Roman"/>
      <w:i/>
      <w:iCs/>
      <w:color w:val="2E74B5" w:themeColor="accent1" w:themeShade="BF"/>
      <w:sz w:val="28"/>
    </w:rPr>
  </w:style>
  <w:style w:type="character" w:styleId="IntenseReference">
    <w:name w:val="Intense Reference"/>
    <w:basedOn w:val="DefaultParagraphFont"/>
    <w:uiPriority w:val="32"/>
    <w:qFormat/>
    <w:rsid w:val="00C57D5C"/>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453</Words>
  <Characters>2588</Characters>
  <Application>Microsoft Office Word</Application>
  <DocSecurity>0</DocSecurity>
  <Lines>21</Lines>
  <Paragraphs>6</Paragraphs>
  <ScaleCrop>false</ScaleCrop>
  <Company/>
  <LinksUpToDate>false</LinksUpToDate>
  <CharactersWithSpaces>3035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PAAVNI KHATTRI (24124032)</dc:creator>
  <cp:keywords/>
  <dc:description/>
  <cp:lastModifiedBy>PAAVNI KHATTRI (24124032)</cp:lastModifiedBy>
  <cp:revision>1</cp:revision>
  <dcterms:created xsi:type="dcterms:W3CDTF">2025-08-17T13:13:00Z</dcterms:created>
  <dcterms:modified xsi:type="dcterms:W3CDTF">2025-08-17T13:14:00Z</dcterms:modified>
</cp:coreProperties>
</file>