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CA6C00" w14:textId="77777777" w:rsidR="0099496B" w:rsidRPr="0099496B" w:rsidRDefault="0099496B" w:rsidP="0099496B">
      <w:pPr>
        <w:spacing w:after="0"/>
        <w:ind w:firstLine="709"/>
        <w:jc w:val="center"/>
        <w:rPr>
          <w:b/>
          <w:bCs/>
          <w:lang w:val="en-US"/>
        </w:rPr>
      </w:pPr>
      <w:r w:rsidRPr="0099496B">
        <w:rPr>
          <w:b/>
          <w:bCs/>
          <w:lang w:val="en-US"/>
        </w:rPr>
        <w:t>Week 6 – Consolidation, Self-Motivation, and Health Strategy</w:t>
      </w:r>
    </w:p>
    <w:p w14:paraId="3A9E25E0" w14:textId="77777777" w:rsidR="0099496B" w:rsidRPr="0099496B" w:rsidRDefault="0099496B" w:rsidP="0099496B">
      <w:pPr>
        <w:numPr>
          <w:ilvl w:val="0"/>
          <w:numId w:val="1"/>
        </w:numPr>
        <w:spacing w:after="0"/>
        <w:jc w:val="both"/>
        <w:rPr>
          <w:lang w:val="en-US"/>
        </w:rPr>
      </w:pPr>
      <w:r w:rsidRPr="0099496B">
        <w:rPr>
          <w:b/>
          <w:bCs/>
          <w:lang w:val="en-US"/>
        </w:rPr>
        <w:t>Medical:</w:t>
      </w:r>
      <w:r w:rsidRPr="0099496B">
        <w:rPr>
          <w:lang w:val="en-US"/>
        </w:rPr>
        <w:t xml:space="preserve"> Aarav reported noticeable improvement in mood after two full weeks on escitalopram. Side effects remained minimal, mainly limited to mild drowsiness on some evenings, which did not interfere with training or academics. His energy levels were better, and sleep became more restorative. A blood re-test was planned to check ferritin and vitamin D levels, aiming to confirm recovery trends and guide supplementation.</w:t>
      </w:r>
    </w:p>
    <w:p w14:paraId="601FCF1A" w14:textId="77777777" w:rsidR="0099496B" w:rsidRPr="0099496B" w:rsidRDefault="0099496B" w:rsidP="0099496B">
      <w:pPr>
        <w:numPr>
          <w:ilvl w:val="0"/>
          <w:numId w:val="1"/>
        </w:numPr>
        <w:spacing w:after="0"/>
        <w:jc w:val="both"/>
        <w:rPr>
          <w:lang w:val="en-US"/>
        </w:rPr>
      </w:pPr>
      <w:r w:rsidRPr="0099496B">
        <w:rPr>
          <w:b/>
          <w:bCs/>
          <w:lang w:val="en-US"/>
        </w:rPr>
        <w:t>Nutrition:</w:t>
      </w:r>
      <w:r w:rsidRPr="0099496B">
        <w:rPr>
          <w:lang w:val="en-US"/>
        </w:rPr>
        <w:t xml:space="preserve"> Aarav maintained consistent hydration throughout the day and made breakfast a daily habit. Carla, his nutritionist, introduced a monthly challenge where Aarav focused on adding leafy greens and oily fish to meals for better iron and omega-3 intake. Aarav also started asking questions about optimal post-training recovery snacks, showing proactive engagement with nutrition.</w:t>
      </w:r>
    </w:p>
    <w:p w14:paraId="3F58F249" w14:textId="77777777" w:rsidR="0099496B" w:rsidRPr="0099496B" w:rsidRDefault="0099496B" w:rsidP="0099496B">
      <w:pPr>
        <w:numPr>
          <w:ilvl w:val="0"/>
          <w:numId w:val="1"/>
        </w:numPr>
        <w:spacing w:after="0"/>
        <w:jc w:val="both"/>
        <w:rPr>
          <w:lang w:val="en-US"/>
        </w:rPr>
      </w:pPr>
      <w:r w:rsidRPr="0099496B">
        <w:rPr>
          <w:b/>
          <w:bCs/>
          <w:lang w:val="en-US"/>
        </w:rPr>
        <w:t>Physiotherapy:</w:t>
      </w:r>
      <w:r w:rsidRPr="0099496B">
        <w:rPr>
          <w:lang w:val="en-US"/>
        </w:rPr>
        <w:t xml:space="preserve"> Continued ankle stability and strengthening drills were well tolerated. Aarav showed improved mobility, and discussions were initiated about beginning supervised jogging. His confidence in physical movement increased, and his pain levels remained minimal.</w:t>
      </w:r>
    </w:p>
    <w:p w14:paraId="5253AC31" w14:textId="77777777" w:rsidR="0099496B" w:rsidRPr="0099496B" w:rsidRDefault="0099496B" w:rsidP="0099496B">
      <w:pPr>
        <w:numPr>
          <w:ilvl w:val="0"/>
          <w:numId w:val="1"/>
        </w:numPr>
        <w:spacing w:after="0"/>
        <w:jc w:val="both"/>
        <w:rPr>
          <w:lang w:val="en-US"/>
        </w:rPr>
      </w:pPr>
      <w:r w:rsidRPr="0099496B">
        <w:rPr>
          <w:b/>
          <w:bCs/>
          <w:lang w:val="en-US"/>
        </w:rPr>
        <w:t>Psychiatry &amp; Mental Health:</w:t>
      </w:r>
      <w:r w:rsidRPr="0099496B">
        <w:rPr>
          <w:lang w:val="en-US"/>
        </w:rPr>
        <w:t xml:space="preserve"> Aarav was introduced to structured breathing exercises, which gave him a stronger sense of control during moments of stress. He maintained journaling and relaxation practices, reporting reduced anxiety and better focus.</w:t>
      </w:r>
    </w:p>
    <w:p w14:paraId="6F01AD30" w14:textId="77777777" w:rsidR="0099496B" w:rsidRPr="0099496B" w:rsidRDefault="0099496B" w:rsidP="0099496B">
      <w:pPr>
        <w:numPr>
          <w:ilvl w:val="0"/>
          <w:numId w:val="1"/>
        </w:numPr>
        <w:spacing w:after="0"/>
        <w:jc w:val="both"/>
        <w:rPr>
          <w:lang w:val="en-US"/>
        </w:rPr>
      </w:pPr>
      <w:r w:rsidRPr="0099496B">
        <w:rPr>
          <w:b/>
          <w:bCs/>
          <w:lang w:val="en-US"/>
        </w:rPr>
        <w:t>Engagement:</w:t>
      </w:r>
      <w:r w:rsidRPr="0099496B">
        <w:rPr>
          <w:lang w:val="en-US"/>
        </w:rPr>
        <w:t xml:space="preserve"> Aarav joined a group Q&amp;A session with other athletes, which helped normalize his challenges, reduce anxiety, and build social connection.</w:t>
      </w:r>
    </w:p>
    <w:p w14:paraId="2E5DFF07" w14:textId="77777777" w:rsidR="0099496B" w:rsidRPr="0099496B" w:rsidRDefault="0099496B" w:rsidP="0099496B">
      <w:pPr>
        <w:numPr>
          <w:ilvl w:val="0"/>
          <w:numId w:val="1"/>
        </w:numPr>
        <w:spacing w:after="0"/>
        <w:jc w:val="both"/>
        <w:rPr>
          <w:lang w:val="en-US"/>
        </w:rPr>
      </w:pPr>
      <w:r w:rsidRPr="0099496B">
        <w:rPr>
          <w:b/>
          <w:bCs/>
          <w:lang w:val="en-US"/>
        </w:rPr>
        <w:t>Overall:</w:t>
      </w:r>
      <w:r w:rsidRPr="0099496B">
        <w:rPr>
          <w:lang w:val="en-US"/>
        </w:rPr>
        <w:t xml:space="preserve"> Aarav demonstrated growing independence, self-motivation, and openness in managing his health routines, reflecting progress across medical, physical, and psychological domains.</w:t>
      </w:r>
    </w:p>
    <w:p w14:paraId="670D7B4B" w14:textId="1AF79264" w:rsidR="0099496B" w:rsidRDefault="0099496B" w:rsidP="0099496B">
      <w:pPr>
        <w:spacing w:after="0"/>
        <w:ind w:firstLine="709"/>
        <w:jc w:val="both"/>
        <w:rPr>
          <w:lang w:val="en-US"/>
        </w:rPr>
      </w:pPr>
    </w:p>
    <w:p w14:paraId="75A1547E" w14:textId="77777777" w:rsidR="0099496B" w:rsidRPr="0099496B" w:rsidRDefault="0099496B" w:rsidP="0099496B">
      <w:pPr>
        <w:spacing w:after="0"/>
        <w:ind w:firstLine="709"/>
        <w:jc w:val="both"/>
        <w:rPr>
          <w:lang w:val="en-US"/>
        </w:rPr>
      </w:pPr>
    </w:p>
    <w:p w14:paraId="0B3FDE97" w14:textId="624A82DE" w:rsidR="0099496B" w:rsidRPr="0099496B" w:rsidRDefault="0099496B" w:rsidP="0099496B">
      <w:pPr>
        <w:spacing w:after="0"/>
        <w:ind w:firstLine="709"/>
        <w:jc w:val="both"/>
        <w:rPr>
          <w:b/>
          <w:bCs/>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6"/>
        <w:gridCol w:w="1874"/>
        <w:gridCol w:w="2262"/>
        <w:gridCol w:w="3002"/>
      </w:tblGrid>
      <w:tr w:rsidR="0099496B" w:rsidRPr="0099496B" w14:paraId="5071F5C7" w14:textId="77777777">
        <w:trPr>
          <w:tblHeader/>
          <w:tblCellSpacing w:w="15" w:type="dxa"/>
        </w:trPr>
        <w:tc>
          <w:tcPr>
            <w:tcW w:w="0" w:type="auto"/>
            <w:vAlign w:val="center"/>
            <w:hideMark/>
          </w:tcPr>
          <w:p w14:paraId="2C4B0160" w14:textId="77777777" w:rsidR="0099496B" w:rsidRPr="0099496B" w:rsidRDefault="0099496B" w:rsidP="0099496B">
            <w:pPr>
              <w:spacing w:after="0"/>
              <w:ind w:firstLine="709"/>
              <w:jc w:val="both"/>
              <w:rPr>
                <w:b/>
                <w:bCs/>
                <w:lang w:val="en-US"/>
              </w:rPr>
            </w:pPr>
            <w:r w:rsidRPr="0099496B">
              <w:rPr>
                <w:b/>
                <w:bCs/>
                <w:lang w:val="en-US"/>
              </w:rPr>
              <w:t>Week 6 Key Tests</w:t>
            </w:r>
          </w:p>
        </w:tc>
        <w:tc>
          <w:tcPr>
            <w:tcW w:w="0" w:type="auto"/>
            <w:vAlign w:val="center"/>
            <w:hideMark/>
          </w:tcPr>
          <w:p w14:paraId="54809465" w14:textId="77777777" w:rsidR="0099496B" w:rsidRPr="0099496B" w:rsidRDefault="0099496B" w:rsidP="0099496B">
            <w:pPr>
              <w:spacing w:after="0"/>
              <w:ind w:firstLine="709"/>
              <w:jc w:val="both"/>
              <w:rPr>
                <w:b/>
                <w:bCs/>
                <w:lang w:val="en-US"/>
              </w:rPr>
            </w:pPr>
            <w:r w:rsidRPr="0099496B">
              <w:rPr>
                <w:b/>
                <w:bCs/>
                <w:lang w:val="en-US"/>
              </w:rPr>
              <w:t>Value</w:t>
            </w:r>
          </w:p>
        </w:tc>
        <w:tc>
          <w:tcPr>
            <w:tcW w:w="0" w:type="auto"/>
            <w:vAlign w:val="center"/>
            <w:hideMark/>
          </w:tcPr>
          <w:p w14:paraId="63C9BC55" w14:textId="6959672C" w:rsidR="0099496B" w:rsidRPr="0099496B" w:rsidRDefault="0099496B" w:rsidP="0099496B">
            <w:pPr>
              <w:spacing w:after="0"/>
              <w:ind w:firstLine="709"/>
              <w:jc w:val="both"/>
              <w:rPr>
                <w:b/>
                <w:bCs/>
                <w:lang w:val="en-US"/>
              </w:rPr>
            </w:pPr>
            <w:r w:rsidRPr="0099496B">
              <w:rPr>
                <w:b/>
                <w:bCs/>
                <w:lang w:val="en-US"/>
              </w:rPr>
              <w:t xml:space="preserve">Normal </w:t>
            </w:r>
            <w:r>
              <w:rPr>
                <w:b/>
                <w:bCs/>
                <w:lang w:val="en-US"/>
              </w:rPr>
              <w:t xml:space="preserve">         </w:t>
            </w:r>
            <w:r w:rsidRPr="0099496B">
              <w:rPr>
                <w:b/>
                <w:bCs/>
                <w:lang w:val="en-US"/>
              </w:rPr>
              <w:t>Range</w:t>
            </w:r>
          </w:p>
        </w:tc>
        <w:tc>
          <w:tcPr>
            <w:tcW w:w="0" w:type="auto"/>
            <w:vAlign w:val="center"/>
            <w:hideMark/>
          </w:tcPr>
          <w:p w14:paraId="4D4AFA52" w14:textId="77777777" w:rsidR="0099496B" w:rsidRPr="0099496B" w:rsidRDefault="0099496B" w:rsidP="0099496B">
            <w:pPr>
              <w:spacing w:after="0"/>
              <w:ind w:firstLine="709"/>
              <w:jc w:val="both"/>
              <w:rPr>
                <w:b/>
                <w:bCs/>
                <w:lang w:val="en-US"/>
              </w:rPr>
            </w:pPr>
            <w:r w:rsidRPr="0099496B">
              <w:rPr>
                <w:b/>
                <w:bCs/>
                <w:lang w:val="en-US"/>
              </w:rPr>
              <w:t>Comments</w:t>
            </w:r>
          </w:p>
        </w:tc>
      </w:tr>
      <w:tr w:rsidR="0099496B" w:rsidRPr="0099496B" w14:paraId="6C791CF1" w14:textId="77777777">
        <w:trPr>
          <w:tblCellSpacing w:w="15" w:type="dxa"/>
        </w:trPr>
        <w:tc>
          <w:tcPr>
            <w:tcW w:w="0" w:type="auto"/>
            <w:vAlign w:val="center"/>
            <w:hideMark/>
          </w:tcPr>
          <w:p w14:paraId="3EEEB2E7" w14:textId="77777777" w:rsidR="0099496B" w:rsidRPr="0099496B" w:rsidRDefault="0099496B" w:rsidP="0099496B">
            <w:pPr>
              <w:spacing w:after="0"/>
              <w:ind w:firstLine="709"/>
              <w:jc w:val="both"/>
              <w:rPr>
                <w:lang w:val="en-US"/>
              </w:rPr>
            </w:pPr>
            <w:r w:rsidRPr="0099496B">
              <w:rPr>
                <w:lang w:val="en-US"/>
              </w:rPr>
              <w:t>Ferritin (Re-test)</w:t>
            </w:r>
          </w:p>
        </w:tc>
        <w:tc>
          <w:tcPr>
            <w:tcW w:w="0" w:type="auto"/>
            <w:vAlign w:val="center"/>
            <w:hideMark/>
          </w:tcPr>
          <w:p w14:paraId="66521910" w14:textId="77777777" w:rsidR="0099496B" w:rsidRPr="0099496B" w:rsidRDefault="0099496B" w:rsidP="0099496B">
            <w:pPr>
              <w:spacing w:after="0"/>
              <w:ind w:firstLine="709"/>
              <w:jc w:val="both"/>
              <w:rPr>
                <w:lang w:val="en-US"/>
              </w:rPr>
            </w:pPr>
            <w:r w:rsidRPr="0099496B">
              <w:rPr>
                <w:lang w:val="en-US"/>
              </w:rPr>
              <w:t>31 ng/mL</w:t>
            </w:r>
          </w:p>
        </w:tc>
        <w:tc>
          <w:tcPr>
            <w:tcW w:w="0" w:type="auto"/>
            <w:vAlign w:val="center"/>
            <w:hideMark/>
          </w:tcPr>
          <w:p w14:paraId="76987026" w14:textId="77777777" w:rsidR="0099496B" w:rsidRPr="0099496B" w:rsidRDefault="0099496B" w:rsidP="0099496B">
            <w:pPr>
              <w:spacing w:after="0"/>
              <w:ind w:firstLine="709"/>
              <w:jc w:val="both"/>
              <w:rPr>
                <w:lang w:val="en-US"/>
              </w:rPr>
            </w:pPr>
            <w:r w:rsidRPr="0099496B">
              <w:rPr>
                <w:lang w:val="en-US"/>
              </w:rPr>
              <w:t>30–400 ng/mL</w:t>
            </w:r>
          </w:p>
        </w:tc>
        <w:tc>
          <w:tcPr>
            <w:tcW w:w="0" w:type="auto"/>
            <w:vAlign w:val="center"/>
            <w:hideMark/>
          </w:tcPr>
          <w:p w14:paraId="51134CE0" w14:textId="77777777" w:rsidR="0099496B" w:rsidRPr="0099496B" w:rsidRDefault="0099496B" w:rsidP="0099496B">
            <w:pPr>
              <w:spacing w:after="0"/>
              <w:ind w:firstLine="709"/>
              <w:jc w:val="both"/>
              <w:rPr>
                <w:lang w:val="en-US"/>
              </w:rPr>
            </w:pPr>
            <w:r w:rsidRPr="0099496B">
              <w:rPr>
                <w:lang w:val="en-US"/>
              </w:rPr>
              <w:t>Now within normal range</w:t>
            </w:r>
          </w:p>
        </w:tc>
      </w:tr>
      <w:tr w:rsidR="0099496B" w:rsidRPr="0099496B" w14:paraId="7B343BAE" w14:textId="77777777">
        <w:trPr>
          <w:tblCellSpacing w:w="15" w:type="dxa"/>
        </w:trPr>
        <w:tc>
          <w:tcPr>
            <w:tcW w:w="0" w:type="auto"/>
            <w:vAlign w:val="center"/>
            <w:hideMark/>
          </w:tcPr>
          <w:p w14:paraId="7D583525" w14:textId="77777777" w:rsidR="0099496B" w:rsidRPr="0099496B" w:rsidRDefault="0099496B" w:rsidP="0099496B">
            <w:pPr>
              <w:spacing w:after="0"/>
              <w:ind w:firstLine="709"/>
              <w:jc w:val="both"/>
              <w:rPr>
                <w:lang w:val="en-US"/>
              </w:rPr>
            </w:pPr>
            <w:r w:rsidRPr="0099496B">
              <w:rPr>
                <w:lang w:val="en-US"/>
              </w:rPr>
              <w:t>Vitamin D (25-OH)</w:t>
            </w:r>
          </w:p>
        </w:tc>
        <w:tc>
          <w:tcPr>
            <w:tcW w:w="0" w:type="auto"/>
            <w:vAlign w:val="center"/>
            <w:hideMark/>
          </w:tcPr>
          <w:p w14:paraId="3BFBC65A" w14:textId="77777777" w:rsidR="0099496B" w:rsidRPr="0099496B" w:rsidRDefault="0099496B" w:rsidP="0099496B">
            <w:pPr>
              <w:spacing w:after="0"/>
              <w:ind w:firstLine="709"/>
              <w:jc w:val="both"/>
              <w:rPr>
                <w:lang w:val="en-US"/>
              </w:rPr>
            </w:pPr>
            <w:r w:rsidRPr="0099496B">
              <w:rPr>
                <w:lang w:val="en-US"/>
              </w:rPr>
              <w:t>25 ng/mL</w:t>
            </w:r>
          </w:p>
        </w:tc>
        <w:tc>
          <w:tcPr>
            <w:tcW w:w="0" w:type="auto"/>
            <w:vAlign w:val="center"/>
            <w:hideMark/>
          </w:tcPr>
          <w:p w14:paraId="44F5328D" w14:textId="77777777" w:rsidR="0099496B" w:rsidRPr="0099496B" w:rsidRDefault="0099496B" w:rsidP="0099496B">
            <w:pPr>
              <w:spacing w:after="0"/>
              <w:ind w:firstLine="709"/>
              <w:jc w:val="both"/>
              <w:rPr>
                <w:lang w:val="en-US"/>
              </w:rPr>
            </w:pPr>
            <w:r w:rsidRPr="0099496B">
              <w:rPr>
                <w:lang w:val="en-US"/>
              </w:rPr>
              <w:t>&gt;30 ng/mL</w:t>
            </w:r>
          </w:p>
        </w:tc>
        <w:tc>
          <w:tcPr>
            <w:tcW w:w="0" w:type="auto"/>
            <w:vAlign w:val="center"/>
            <w:hideMark/>
          </w:tcPr>
          <w:p w14:paraId="0DA12C7C" w14:textId="77777777" w:rsidR="0099496B" w:rsidRPr="0099496B" w:rsidRDefault="0099496B" w:rsidP="0099496B">
            <w:pPr>
              <w:spacing w:after="0"/>
              <w:ind w:firstLine="709"/>
              <w:jc w:val="both"/>
              <w:rPr>
                <w:lang w:val="en-US"/>
              </w:rPr>
            </w:pPr>
            <w:r w:rsidRPr="0099496B">
              <w:rPr>
                <w:lang w:val="en-US"/>
              </w:rPr>
              <w:t>Improving, still suboptimal</w:t>
            </w:r>
          </w:p>
        </w:tc>
      </w:tr>
      <w:tr w:rsidR="0099496B" w:rsidRPr="0099496B" w14:paraId="0902F61A" w14:textId="77777777">
        <w:trPr>
          <w:tblCellSpacing w:w="15" w:type="dxa"/>
        </w:trPr>
        <w:tc>
          <w:tcPr>
            <w:tcW w:w="0" w:type="auto"/>
            <w:vAlign w:val="center"/>
            <w:hideMark/>
          </w:tcPr>
          <w:p w14:paraId="1DE2699D" w14:textId="77777777" w:rsidR="0099496B" w:rsidRPr="0099496B" w:rsidRDefault="0099496B" w:rsidP="0099496B">
            <w:pPr>
              <w:spacing w:after="0"/>
              <w:ind w:firstLine="709"/>
              <w:jc w:val="both"/>
              <w:rPr>
                <w:lang w:val="en-US"/>
              </w:rPr>
            </w:pPr>
            <w:r w:rsidRPr="0099496B">
              <w:rPr>
                <w:lang w:val="en-US"/>
              </w:rPr>
              <w:t>Fasting Glucose</w:t>
            </w:r>
          </w:p>
        </w:tc>
        <w:tc>
          <w:tcPr>
            <w:tcW w:w="0" w:type="auto"/>
            <w:vAlign w:val="center"/>
            <w:hideMark/>
          </w:tcPr>
          <w:p w14:paraId="11FA78FD" w14:textId="77777777" w:rsidR="0099496B" w:rsidRPr="0099496B" w:rsidRDefault="0099496B" w:rsidP="0099496B">
            <w:pPr>
              <w:spacing w:after="0"/>
              <w:ind w:firstLine="709"/>
              <w:jc w:val="both"/>
              <w:rPr>
                <w:lang w:val="en-US"/>
              </w:rPr>
            </w:pPr>
            <w:r w:rsidRPr="0099496B">
              <w:rPr>
                <w:lang w:val="en-US"/>
              </w:rPr>
              <w:t>105 mg/dL</w:t>
            </w:r>
          </w:p>
        </w:tc>
        <w:tc>
          <w:tcPr>
            <w:tcW w:w="0" w:type="auto"/>
            <w:vAlign w:val="center"/>
            <w:hideMark/>
          </w:tcPr>
          <w:p w14:paraId="51004A4A" w14:textId="77777777" w:rsidR="0099496B" w:rsidRPr="0099496B" w:rsidRDefault="0099496B" w:rsidP="0099496B">
            <w:pPr>
              <w:spacing w:after="0"/>
              <w:ind w:firstLine="709"/>
              <w:jc w:val="both"/>
              <w:rPr>
                <w:lang w:val="en-US"/>
              </w:rPr>
            </w:pPr>
            <w:r w:rsidRPr="0099496B">
              <w:rPr>
                <w:lang w:val="en-US"/>
              </w:rPr>
              <w:t>70–99 mg/dL</w:t>
            </w:r>
          </w:p>
        </w:tc>
        <w:tc>
          <w:tcPr>
            <w:tcW w:w="0" w:type="auto"/>
            <w:vAlign w:val="center"/>
            <w:hideMark/>
          </w:tcPr>
          <w:p w14:paraId="132EE48F" w14:textId="77777777" w:rsidR="0099496B" w:rsidRPr="0099496B" w:rsidRDefault="0099496B" w:rsidP="0099496B">
            <w:pPr>
              <w:spacing w:after="0"/>
              <w:ind w:firstLine="709"/>
              <w:jc w:val="both"/>
              <w:rPr>
                <w:lang w:val="en-US"/>
              </w:rPr>
            </w:pPr>
            <w:r w:rsidRPr="0099496B">
              <w:rPr>
                <w:lang w:val="en-US"/>
              </w:rPr>
              <w:t>Slightly above normal, improving</w:t>
            </w:r>
          </w:p>
        </w:tc>
      </w:tr>
      <w:tr w:rsidR="0099496B" w:rsidRPr="0099496B" w14:paraId="6A039112" w14:textId="77777777">
        <w:trPr>
          <w:tblCellSpacing w:w="15" w:type="dxa"/>
        </w:trPr>
        <w:tc>
          <w:tcPr>
            <w:tcW w:w="0" w:type="auto"/>
            <w:vAlign w:val="center"/>
            <w:hideMark/>
          </w:tcPr>
          <w:p w14:paraId="51A8071B" w14:textId="77777777" w:rsidR="0099496B" w:rsidRPr="0099496B" w:rsidRDefault="0099496B" w:rsidP="0099496B">
            <w:pPr>
              <w:spacing w:after="0"/>
              <w:ind w:firstLine="709"/>
              <w:jc w:val="both"/>
              <w:rPr>
                <w:lang w:val="en-US"/>
              </w:rPr>
            </w:pPr>
            <w:r w:rsidRPr="0099496B">
              <w:rPr>
                <w:lang w:val="en-US"/>
              </w:rPr>
              <w:t>HbA1c</w:t>
            </w:r>
          </w:p>
        </w:tc>
        <w:tc>
          <w:tcPr>
            <w:tcW w:w="0" w:type="auto"/>
            <w:vAlign w:val="center"/>
            <w:hideMark/>
          </w:tcPr>
          <w:p w14:paraId="36257179" w14:textId="77777777" w:rsidR="0099496B" w:rsidRPr="0099496B" w:rsidRDefault="0099496B" w:rsidP="0099496B">
            <w:pPr>
              <w:spacing w:after="0"/>
              <w:ind w:firstLine="709"/>
              <w:jc w:val="both"/>
              <w:rPr>
                <w:lang w:val="en-US"/>
              </w:rPr>
            </w:pPr>
            <w:r w:rsidRPr="0099496B">
              <w:rPr>
                <w:lang w:val="en-US"/>
              </w:rPr>
              <w:t>5.8%</w:t>
            </w:r>
          </w:p>
        </w:tc>
        <w:tc>
          <w:tcPr>
            <w:tcW w:w="0" w:type="auto"/>
            <w:vAlign w:val="center"/>
            <w:hideMark/>
          </w:tcPr>
          <w:p w14:paraId="557F008E" w14:textId="77777777" w:rsidR="0099496B" w:rsidRPr="0099496B" w:rsidRDefault="0099496B" w:rsidP="0099496B">
            <w:pPr>
              <w:spacing w:after="0"/>
              <w:ind w:firstLine="709"/>
              <w:jc w:val="both"/>
              <w:rPr>
                <w:lang w:val="en-US"/>
              </w:rPr>
            </w:pPr>
            <w:r w:rsidRPr="0099496B">
              <w:rPr>
                <w:lang w:val="en-US"/>
              </w:rPr>
              <w:t>&lt;5.7%</w:t>
            </w:r>
          </w:p>
        </w:tc>
        <w:tc>
          <w:tcPr>
            <w:tcW w:w="0" w:type="auto"/>
            <w:vAlign w:val="center"/>
            <w:hideMark/>
          </w:tcPr>
          <w:p w14:paraId="04451A03" w14:textId="77777777" w:rsidR="0099496B" w:rsidRPr="0099496B" w:rsidRDefault="0099496B" w:rsidP="0099496B">
            <w:pPr>
              <w:spacing w:after="0"/>
              <w:ind w:firstLine="709"/>
              <w:jc w:val="both"/>
              <w:rPr>
                <w:lang w:val="en-US"/>
              </w:rPr>
            </w:pPr>
            <w:r w:rsidRPr="0099496B">
              <w:rPr>
                <w:lang w:val="en-US"/>
              </w:rPr>
              <w:t>Borderline prediabetes</w:t>
            </w:r>
          </w:p>
        </w:tc>
      </w:tr>
      <w:tr w:rsidR="0099496B" w:rsidRPr="0099496B" w14:paraId="62568CAC" w14:textId="77777777">
        <w:trPr>
          <w:tblCellSpacing w:w="15" w:type="dxa"/>
        </w:trPr>
        <w:tc>
          <w:tcPr>
            <w:tcW w:w="0" w:type="auto"/>
            <w:vAlign w:val="center"/>
            <w:hideMark/>
          </w:tcPr>
          <w:p w14:paraId="25E15148" w14:textId="77777777" w:rsidR="0099496B" w:rsidRPr="0099496B" w:rsidRDefault="0099496B" w:rsidP="0099496B">
            <w:pPr>
              <w:spacing w:after="0"/>
              <w:ind w:firstLine="709"/>
              <w:jc w:val="both"/>
              <w:rPr>
                <w:lang w:val="en-US"/>
              </w:rPr>
            </w:pPr>
            <w:r w:rsidRPr="0099496B">
              <w:rPr>
                <w:lang w:val="en-US"/>
              </w:rPr>
              <w:t>Pulse Rate</w:t>
            </w:r>
          </w:p>
        </w:tc>
        <w:tc>
          <w:tcPr>
            <w:tcW w:w="0" w:type="auto"/>
            <w:vAlign w:val="center"/>
            <w:hideMark/>
          </w:tcPr>
          <w:p w14:paraId="4FF806A8" w14:textId="77777777" w:rsidR="0099496B" w:rsidRPr="0099496B" w:rsidRDefault="0099496B" w:rsidP="0099496B">
            <w:pPr>
              <w:spacing w:after="0"/>
              <w:ind w:firstLine="709"/>
              <w:jc w:val="both"/>
              <w:rPr>
                <w:lang w:val="en-US"/>
              </w:rPr>
            </w:pPr>
            <w:r w:rsidRPr="0099496B">
              <w:rPr>
                <w:lang w:val="en-US"/>
              </w:rPr>
              <w:t>72 bpm</w:t>
            </w:r>
          </w:p>
        </w:tc>
        <w:tc>
          <w:tcPr>
            <w:tcW w:w="0" w:type="auto"/>
            <w:vAlign w:val="center"/>
            <w:hideMark/>
          </w:tcPr>
          <w:p w14:paraId="79242A27" w14:textId="77777777" w:rsidR="0099496B" w:rsidRPr="0099496B" w:rsidRDefault="0099496B" w:rsidP="0099496B">
            <w:pPr>
              <w:spacing w:after="0"/>
              <w:ind w:firstLine="709"/>
              <w:jc w:val="both"/>
              <w:rPr>
                <w:lang w:val="en-US"/>
              </w:rPr>
            </w:pPr>
            <w:r w:rsidRPr="0099496B">
              <w:rPr>
                <w:lang w:val="en-US"/>
              </w:rPr>
              <w:t>50–70 bpm (resting athlete)</w:t>
            </w:r>
          </w:p>
        </w:tc>
        <w:tc>
          <w:tcPr>
            <w:tcW w:w="0" w:type="auto"/>
            <w:vAlign w:val="center"/>
            <w:hideMark/>
          </w:tcPr>
          <w:p w14:paraId="7B72132D" w14:textId="77777777" w:rsidR="0099496B" w:rsidRPr="0099496B" w:rsidRDefault="0099496B" w:rsidP="0099496B">
            <w:pPr>
              <w:spacing w:after="0"/>
              <w:ind w:firstLine="709"/>
              <w:jc w:val="both"/>
              <w:rPr>
                <w:lang w:val="en-US"/>
              </w:rPr>
            </w:pPr>
            <w:r w:rsidRPr="0099496B">
              <w:rPr>
                <w:lang w:val="en-US"/>
              </w:rPr>
              <w:t>Closer to athletic target</w:t>
            </w:r>
          </w:p>
        </w:tc>
      </w:tr>
      <w:tr w:rsidR="0099496B" w:rsidRPr="0099496B" w14:paraId="7DFED6F8" w14:textId="77777777">
        <w:trPr>
          <w:tblCellSpacing w:w="15" w:type="dxa"/>
        </w:trPr>
        <w:tc>
          <w:tcPr>
            <w:tcW w:w="0" w:type="auto"/>
            <w:vAlign w:val="center"/>
            <w:hideMark/>
          </w:tcPr>
          <w:p w14:paraId="2D5F8EE8" w14:textId="77777777" w:rsidR="0099496B" w:rsidRPr="0099496B" w:rsidRDefault="0099496B" w:rsidP="0099496B">
            <w:pPr>
              <w:spacing w:after="0"/>
              <w:ind w:firstLine="709"/>
              <w:jc w:val="both"/>
              <w:rPr>
                <w:lang w:val="en-US"/>
              </w:rPr>
            </w:pPr>
            <w:r w:rsidRPr="0099496B">
              <w:rPr>
                <w:lang w:val="en-US"/>
              </w:rPr>
              <w:t>PHQ-9 (Depression)</w:t>
            </w:r>
          </w:p>
        </w:tc>
        <w:tc>
          <w:tcPr>
            <w:tcW w:w="0" w:type="auto"/>
            <w:vAlign w:val="center"/>
            <w:hideMark/>
          </w:tcPr>
          <w:p w14:paraId="45FA2DC0" w14:textId="77777777" w:rsidR="0099496B" w:rsidRPr="0099496B" w:rsidRDefault="0099496B" w:rsidP="0099496B">
            <w:pPr>
              <w:spacing w:after="0"/>
              <w:ind w:firstLine="709"/>
              <w:jc w:val="both"/>
              <w:rPr>
                <w:lang w:val="en-US"/>
              </w:rPr>
            </w:pPr>
            <w:r w:rsidRPr="0099496B">
              <w:rPr>
                <w:lang w:val="en-US"/>
              </w:rPr>
              <w:t>6</w:t>
            </w:r>
          </w:p>
        </w:tc>
        <w:tc>
          <w:tcPr>
            <w:tcW w:w="0" w:type="auto"/>
            <w:vAlign w:val="center"/>
            <w:hideMark/>
          </w:tcPr>
          <w:p w14:paraId="29BA05EE" w14:textId="77777777" w:rsidR="0099496B" w:rsidRPr="0099496B" w:rsidRDefault="0099496B" w:rsidP="0099496B">
            <w:pPr>
              <w:spacing w:after="0"/>
              <w:ind w:firstLine="709"/>
              <w:jc w:val="both"/>
              <w:rPr>
                <w:lang w:val="en-US"/>
              </w:rPr>
            </w:pPr>
            <w:r w:rsidRPr="0099496B">
              <w:rPr>
                <w:lang w:val="en-US"/>
              </w:rPr>
              <w:t>0–4 minimal</w:t>
            </w:r>
          </w:p>
        </w:tc>
        <w:tc>
          <w:tcPr>
            <w:tcW w:w="0" w:type="auto"/>
            <w:vAlign w:val="center"/>
            <w:hideMark/>
          </w:tcPr>
          <w:p w14:paraId="60823381" w14:textId="77777777" w:rsidR="0099496B" w:rsidRPr="0099496B" w:rsidRDefault="0099496B" w:rsidP="0099496B">
            <w:pPr>
              <w:spacing w:after="0"/>
              <w:ind w:firstLine="709"/>
              <w:jc w:val="both"/>
              <w:rPr>
                <w:lang w:val="en-US"/>
              </w:rPr>
            </w:pPr>
            <w:r w:rsidRPr="0099496B">
              <w:rPr>
                <w:lang w:val="en-US"/>
              </w:rPr>
              <w:t>Mild symptoms, notable improvement</w:t>
            </w:r>
          </w:p>
        </w:tc>
      </w:tr>
      <w:tr w:rsidR="0099496B" w:rsidRPr="0099496B" w14:paraId="5BE70782" w14:textId="77777777">
        <w:trPr>
          <w:tblCellSpacing w:w="15" w:type="dxa"/>
        </w:trPr>
        <w:tc>
          <w:tcPr>
            <w:tcW w:w="0" w:type="auto"/>
            <w:vAlign w:val="center"/>
            <w:hideMark/>
          </w:tcPr>
          <w:p w14:paraId="3489D2A5" w14:textId="77777777" w:rsidR="0099496B" w:rsidRPr="0099496B" w:rsidRDefault="0099496B" w:rsidP="0099496B">
            <w:pPr>
              <w:spacing w:after="0"/>
              <w:ind w:firstLine="709"/>
              <w:jc w:val="both"/>
              <w:rPr>
                <w:lang w:val="en-US"/>
              </w:rPr>
            </w:pPr>
            <w:r w:rsidRPr="0099496B">
              <w:rPr>
                <w:lang w:val="en-US"/>
              </w:rPr>
              <w:lastRenderedPageBreak/>
              <w:t>Sleep Efficiency</w:t>
            </w:r>
          </w:p>
        </w:tc>
        <w:tc>
          <w:tcPr>
            <w:tcW w:w="0" w:type="auto"/>
            <w:vAlign w:val="center"/>
            <w:hideMark/>
          </w:tcPr>
          <w:p w14:paraId="2662C2CF" w14:textId="77777777" w:rsidR="0099496B" w:rsidRPr="0099496B" w:rsidRDefault="0099496B" w:rsidP="0099496B">
            <w:pPr>
              <w:spacing w:after="0"/>
              <w:ind w:firstLine="709"/>
              <w:jc w:val="both"/>
              <w:rPr>
                <w:lang w:val="en-US"/>
              </w:rPr>
            </w:pPr>
            <w:r w:rsidRPr="0099496B">
              <w:rPr>
                <w:lang w:val="en-US"/>
              </w:rPr>
              <w:t>82%</w:t>
            </w:r>
          </w:p>
        </w:tc>
        <w:tc>
          <w:tcPr>
            <w:tcW w:w="0" w:type="auto"/>
            <w:vAlign w:val="center"/>
            <w:hideMark/>
          </w:tcPr>
          <w:p w14:paraId="35D841E3" w14:textId="77777777" w:rsidR="0099496B" w:rsidRPr="0099496B" w:rsidRDefault="0099496B" w:rsidP="0099496B">
            <w:pPr>
              <w:spacing w:after="0"/>
              <w:ind w:firstLine="709"/>
              <w:jc w:val="both"/>
              <w:rPr>
                <w:lang w:val="en-US"/>
              </w:rPr>
            </w:pPr>
            <w:r w:rsidRPr="0099496B">
              <w:rPr>
                <w:lang w:val="en-US"/>
              </w:rPr>
              <w:t>&gt;85%</w:t>
            </w:r>
          </w:p>
        </w:tc>
        <w:tc>
          <w:tcPr>
            <w:tcW w:w="0" w:type="auto"/>
            <w:vAlign w:val="center"/>
            <w:hideMark/>
          </w:tcPr>
          <w:p w14:paraId="44646E44" w14:textId="77777777" w:rsidR="0099496B" w:rsidRPr="0099496B" w:rsidRDefault="0099496B" w:rsidP="0099496B">
            <w:pPr>
              <w:spacing w:after="0"/>
              <w:ind w:firstLine="709"/>
              <w:jc w:val="both"/>
              <w:rPr>
                <w:lang w:val="en-US"/>
              </w:rPr>
            </w:pPr>
            <w:r w:rsidRPr="0099496B">
              <w:rPr>
                <w:lang w:val="en-US"/>
              </w:rPr>
              <w:t>Moderate improvement</w:t>
            </w:r>
          </w:p>
        </w:tc>
      </w:tr>
      <w:tr w:rsidR="0099496B" w:rsidRPr="0099496B" w14:paraId="0D3DD7FE" w14:textId="77777777">
        <w:trPr>
          <w:tblCellSpacing w:w="15" w:type="dxa"/>
        </w:trPr>
        <w:tc>
          <w:tcPr>
            <w:tcW w:w="0" w:type="auto"/>
            <w:vAlign w:val="center"/>
            <w:hideMark/>
          </w:tcPr>
          <w:p w14:paraId="4917FA24" w14:textId="77777777" w:rsidR="0099496B" w:rsidRPr="0099496B" w:rsidRDefault="0099496B" w:rsidP="0099496B">
            <w:pPr>
              <w:spacing w:after="0"/>
              <w:ind w:firstLine="709"/>
              <w:jc w:val="both"/>
              <w:rPr>
                <w:lang w:val="en-US"/>
              </w:rPr>
            </w:pPr>
            <w:r w:rsidRPr="0099496B">
              <w:rPr>
                <w:lang w:val="en-US"/>
              </w:rPr>
              <w:t>Medicine Compliance</w:t>
            </w:r>
          </w:p>
        </w:tc>
        <w:tc>
          <w:tcPr>
            <w:tcW w:w="0" w:type="auto"/>
            <w:vAlign w:val="center"/>
            <w:hideMark/>
          </w:tcPr>
          <w:p w14:paraId="37E410D8" w14:textId="77777777" w:rsidR="0099496B" w:rsidRPr="0099496B" w:rsidRDefault="0099496B" w:rsidP="0099496B">
            <w:pPr>
              <w:spacing w:after="0"/>
              <w:ind w:firstLine="709"/>
              <w:jc w:val="both"/>
              <w:rPr>
                <w:lang w:val="en-US"/>
              </w:rPr>
            </w:pPr>
            <w:r w:rsidRPr="0099496B">
              <w:rPr>
                <w:lang w:val="en-US"/>
              </w:rPr>
              <w:t>Excellent</w:t>
            </w:r>
          </w:p>
        </w:tc>
        <w:tc>
          <w:tcPr>
            <w:tcW w:w="0" w:type="auto"/>
            <w:vAlign w:val="center"/>
            <w:hideMark/>
          </w:tcPr>
          <w:p w14:paraId="4366F92C" w14:textId="77777777" w:rsidR="0099496B" w:rsidRPr="0099496B" w:rsidRDefault="0099496B" w:rsidP="0099496B">
            <w:pPr>
              <w:spacing w:after="0"/>
              <w:ind w:firstLine="709"/>
              <w:jc w:val="both"/>
              <w:rPr>
                <w:lang w:val="en-US"/>
              </w:rPr>
            </w:pPr>
            <w:r w:rsidRPr="0099496B">
              <w:rPr>
                <w:lang w:val="en-US"/>
              </w:rPr>
              <w:t>—</w:t>
            </w:r>
          </w:p>
        </w:tc>
        <w:tc>
          <w:tcPr>
            <w:tcW w:w="0" w:type="auto"/>
            <w:vAlign w:val="center"/>
            <w:hideMark/>
          </w:tcPr>
          <w:p w14:paraId="6071EA7E" w14:textId="77777777" w:rsidR="0099496B" w:rsidRPr="0099496B" w:rsidRDefault="0099496B" w:rsidP="0099496B">
            <w:pPr>
              <w:spacing w:after="0"/>
              <w:ind w:firstLine="709"/>
              <w:jc w:val="both"/>
              <w:rPr>
                <w:lang w:val="en-US"/>
              </w:rPr>
            </w:pPr>
            <w:r w:rsidRPr="0099496B">
              <w:rPr>
                <w:lang w:val="en-US"/>
              </w:rPr>
              <w:t>Escitalopram well tolerated</w:t>
            </w:r>
          </w:p>
        </w:tc>
      </w:tr>
    </w:tbl>
    <w:p w14:paraId="540F5101" w14:textId="77777777" w:rsidR="00F12C76" w:rsidRDefault="00F12C76" w:rsidP="006C0B77">
      <w:pPr>
        <w:spacing w:after="0"/>
        <w:ind w:firstLine="709"/>
        <w:jc w:val="both"/>
      </w:pPr>
    </w:p>
    <w:sectPr w:rsidR="00F12C76"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260180"/>
    <w:multiLevelType w:val="multilevel"/>
    <w:tmpl w:val="98F68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223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96B"/>
    <w:rsid w:val="00413883"/>
    <w:rsid w:val="006C0B77"/>
    <w:rsid w:val="008242FF"/>
    <w:rsid w:val="00870751"/>
    <w:rsid w:val="00922C48"/>
    <w:rsid w:val="0099496B"/>
    <w:rsid w:val="00B915B7"/>
    <w:rsid w:val="00D612F8"/>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31B91"/>
  <w15:chartTrackingRefBased/>
  <w15:docId w15:val="{4552D4DD-AA4B-42A7-A2CE-A42AEDC67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paragraph" w:styleId="Heading1">
    <w:name w:val="heading 1"/>
    <w:basedOn w:val="Normal"/>
    <w:next w:val="Normal"/>
    <w:link w:val="Heading1Char"/>
    <w:uiPriority w:val="9"/>
    <w:qFormat/>
    <w:rsid w:val="0099496B"/>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99496B"/>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99496B"/>
    <w:pPr>
      <w:keepNext/>
      <w:keepLines/>
      <w:spacing w:before="160" w:after="80"/>
      <w:outlineLvl w:val="2"/>
    </w:pPr>
    <w:rPr>
      <w:rFonts w:asciiTheme="minorHAnsi" w:eastAsiaTheme="majorEastAsia" w:hAnsiTheme="minorHAnsi" w:cstheme="majorBidi"/>
      <w:color w:val="2E74B5" w:themeColor="accent1" w:themeShade="BF"/>
      <w:szCs w:val="28"/>
    </w:rPr>
  </w:style>
  <w:style w:type="paragraph" w:styleId="Heading4">
    <w:name w:val="heading 4"/>
    <w:basedOn w:val="Normal"/>
    <w:next w:val="Normal"/>
    <w:link w:val="Heading4Char"/>
    <w:uiPriority w:val="9"/>
    <w:semiHidden/>
    <w:unhideWhenUsed/>
    <w:qFormat/>
    <w:rsid w:val="0099496B"/>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9496B"/>
    <w:pPr>
      <w:keepNext/>
      <w:keepLines/>
      <w:spacing w:before="80" w:after="40"/>
      <w:outlineLvl w:val="4"/>
    </w:pPr>
    <w:rPr>
      <w:rFonts w:asciiTheme="minorHAnsi" w:eastAsiaTheme="majorEastAsia" w:hAnsiTheme="minorHAnsi" w:cstheme="majorBidi"/>
      <w:color w:val="2E74B5" w:themeColor="accent1" w:themeShade="BF"/>
    </w:rPr>
  </w:style>
  <w:style w:type="paragraph" w:styleId="Heading6">
    <w:name w:val="heading 6"/>
    <w:basedOn w:val="Normal"/>
    <w:next w:val="Normal"/>
    <w:link w:val="Heading6Char"/>
    <w:uiPriority w:val="9"/>
    <w:semiHidden/>
    <w:unhideWhenUsed/>
    <w:qFormat/>
    <w:rsid w:val="0099496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9496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9496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9496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496B"/>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99496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99496B"/>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99496B"/>
    <w:rPr>
      <w:rFonts w:eastAsiaTheme="majorEastAsia" w:cstheme="majorBidi"/>
      <w:i/>
      <w:iCs/>
      <w:color w:val="2E74B5" w:themeColor="accent1" w:themeShade="BF"/>
      <w:sz w:val="28"/>
    </w:rPr>
  </w:style>
  <w:style w:type="character" w:customStyle="1" w:styleId="Heading5Char">
    <w:name w:val="Heading 5 Char"/>
    <w:basedOn w:val="DefaultParagraphFont"/>
    <w:link w:val="Heading5"/>
    <w:uiPriority w:val="9"/>
    <w:semiHidden/>
    <w:rsid w:val="0099496B"/>
    <w:rPr>
      <w:rFonts w:eastAsiaTheme="majorEastAsia" w:cstheme="majorBidi"/>
      <w:color w:val="2E74B5" w:themeColor="accent1" w:themeShade="BF"/>
      <w:sz w:val="28"/>
    </w:rPr>
  </w:style>
  <w:style w:type="character" w:customStyle="1" w:styleId="Heading6Char">
    <w:name w:val="Heading 6 Char"/>
    <w:basedOn w:val="DefaultParagraphFont"/>
    <w:link w:val="Heading6"/>
    <w:uiPriority w:val="9"/>
    <w:semiHidden/>
    <w:rsid w:val="0099496B"/>
    <w:rPr>
      <w:rFonts w:eastAsiaTheme="majorEastAsia" w:cstheme="majorBidi"/>
      <w:i/>
      <w:iCs/>
      <w:color w:val="595959" w:themeColor="text1" w:themeTint="A6"/>
      <w:sz w:val="28"/>
    </w:rPr>
  </w:style>
  <w:style w:type="character" w:customStyle="1" w:styleId="Heading7Char">
    <w:name w:val="Heading 7 Char"/>
    <w:basedOn w:val="DefaultParagraphFont"/>
    <w:link w:val="Heading7"/>
    <w:uiPriority w:val="9"/>
    <w:semiHidden/>
    <w:rsid w:val="0099496B"/>
    <w:rPr>
      <w:rFonts w:eastAsiaTheme="majorEastAsia" w:cstheme="majorBidi"/>
      <w:color w:val="595959" w:themeColor="text1" w:themeTint="A6"/>
      <w:sz w:val="28"/>
    </w:rPr>
  </w:style>
  <w:style w:type="character" w:customStyle="1" w:styleId="Heading8Char">
    <w:name w:val="Heading 8 Char"/>
    <w:basedOn w:val="DefaultParagraphFont"/>
    <w:link w:val="Heading8"/>
    <w:uiPriority w:val="9"/>
    <w:semiHidden/>
    <w:rsid w:val="0099496B"/>
    <w:rPr>
      <w:rFonts w:eastAsiaTheme="majorEastAsia" w:cstheme="majorBidi"/>
      <w:i/>
      <w:iCs/>
      <w:color w:val="272727" w:themeColor="text1" w:themeTint="D8"/>
      <w:sz w:val="28"/>
    </w:rPr>
  </w:style>
  <w:style w:type="character" w:customStyle="1" w:styleId="Heading9Char">
    <w:name w:val="Heading 9 Char"/>
    <w:basedOn w:val="DefaultParagraphFont"/>
    <w:link w:val="Heading9"/>
    <w:uiPriority w:val="9"/>
    <w:semiHidden/>
    <w:rsid w:val="0099496B"/>
    <w:rPr>
      <w:rFonts w:eastAsiaTheme="majorEastAsia" w:cstheme="majorBidi"/>
      <w:color w:val="272727" w:themeColor="text1" w:themeTint="D8"/>
      <w:sz w:val="28"/>
    </w:rPr>
  </w:style>
  <w:style w:type="paragraph" w:styleId="Title">
    <w:name w:val="Title"/>
    <w:basedOn w:val="Normal"/>
    <w:next w:val="Normal"/>
    <w:link w:val="TitleChar"/>
    <w:uiPriority w:val="10"/>
    <w:qFormat/>
    <w:rsid w:val="0099496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49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496B"/>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9949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496B"/>
    <w:pPr>
      <w:spacing w:before="160"/>
      <w:jc w:val="center"/>
    </w:pPr>
    <w:rPr>
      <w:i/>
      <w:iCs/>
      <w:color w:val="404040" w:themeColor="text1" w:themeTint="BF"/>
    </w:rPr>
  </w:style>
  <w:style w:type="character" w:customStyle="1" w:styleId="QuoteChar">
    <w:name w:val="Quote Char"/>
    <w:basedOn w:val="DefaultParagraphFont"/>
    <w:link w:val="Quote"/>
    <w:uiPriority w:val="29"/>
    <w:rsid w:val="0099496B"/>
    <w:rPr>
      <w:rFonts w:ascii="Times New Roman" w:hAnsi="Times New Roman"/>
      <w:i/>
      <w:iCs/>
      <w:color w:val="404040" w:themeColor="text1" w:themeTint="BF"/>
      <w:sz w:val="28"/>
    </w:rPr>
  </w:style>
  <w:style w:type="paragraph" w:styleId="ListParagraph">
    <w:name w:val="List Paragraph"/>
    <w:basedOn w:val="Normal"/>
    <w:uiPriority w:val="34"/>
    <w:qFormat/>
    <w:rsid w:val="0099496B"/>
    <w:pPr>
      <w:ind w:left="720"/>
      <w:contextualSpacing/>
    </w:pPr>
  </w:style>
  <w:style w:type="character" w:styleId="IntenseEmphasis">
    <w:name w:val="Intense Emphasis"/>
    <w:basedOn w:val="DefaultParagraphFont"/>
    <w:uiPriority w:val="21"/>
    <w:qFormat/>
    <w:rsid w:val="0099496B"/>
    <w:rPr>
      <w:i/>
      <w:iCs/>
      <w:color w:val="2E74B5" w:themeColor="accent1" w:themeShade="BF"/>
    </w:rPr>
  </w:style>
  <w:style w:type="paragraph" w:styleId="IntenseQuote">
    <w:name w:val="Intense Quote"/>
    <w:basedOn w:val="Normal"/>
    <w:next w:val="Normal"/>
    <w:link w:val="IntenseQuoteChar"/>
    <w:uiPriority w:val="30"/>
    <w:qFormat/>
    <w:rsid w:val="0099496B"/>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99496B"/>
    <w:rPr>
      <w:rFonts w:ascii="Times New Roman" w:hAnsi="Times New Roman"/>
      <w:i/>
      <w:iCs/>
      <w:color w:val="2E74B5" w:themeColor="accent1" w:themeShade="BF"/>
      <w:sz w:val="28"/>
    </w:rPr>
  </w:style>
  <w:style w:type="character" w:styleId="IntenseReference">
    <w:name w:val="Intense Reference"/>
    <w:basedOn w:val="DefaultParagraphFont"/>
    <w:uiPriority w:val="32"/>
    <w:qFormat/>
    <w:rsid w:val="0099496B"/>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340</Words>
  <Characters>1940</Characters>
  <Application>Microsoft Office Word</Application>
  <DocSecurity>0</DocSecurity>
  <Lines>16</Lines>
  <Paragraphs>4</Paragraphs>
  <ScaleCrop>false</ScaleCrop>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PAAVNI KHATTRI (24124032)</dc:creator>
  <cp:keywords/>
  <dc:description/>
  <cp:lastModifiedBy>PAAVNI KHATTRI (24124032)</cp:lastModifiedBy>
  <cp:revision>1</cp:revision>
  <dcterms:created xsi:type="dcterms:W3CDTF">2025-08-17T11:58:00Z</dcterms:created>
  <dcterms:modified xsi:type="dcterms:W3CDTF">2025-08-17T12:00:00Z</dcterms:modified>
</cp:coreProperties>
</file>