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3604" w14:textId="77777777" w:rsidR="00351414" w:rsidRPr="00351414" w:rsidRDefault="00351414" w:rsidP="00351414">
      <w:pPr>
        <w:spacing w:after="0"/>
        <w:ind w:firstLine="709"/>
        <w:jc w:val="center"/>
        <w:rPr>
          <w:b/>
          <w:bCs/>
          <w:lang w:val="en-US"/>
        </w:rPr>
      </w:pPr>
      <w:r w:rsidRPr="00351414">
        <w:rPr>
          <w:b/>
          <w:bCs/>
          <w:lang w:val="en-US"/>
        </w:rPr>
        <w:t>Week 9 – Transitioning to Independence and Flourishing</w:t>
      </w:r>
    </w:p>
    <w:p w14:paraId="3B10EEE7" w14:textId="77777777" w:rsidR="00351414" w:rsidRPr="00351414" w:rsidRDefault="00351414" w:rsidP="00351414">
      <w:pPr>
        <w:numPr>
          <w:ilvl w:val="0"/>
          <w:numId w:val="1"/>
        </w:numPr>
        <w:spacing w:after="0"/>
        <w:jc w:val="both"/>
        <w:rPr>
          <w:lang w:val="en-US"/>
        </w:rPr>
      </w:pPr>
      <w:r w:rsidRPr="00351414">
        <w:rPr>
          <w:b/>
          <w:bCs/>
          <w:lang w:val="en-US"/>
        </w:rPr>
        <w:t>Medical:</w:t>
      </w:r>
      <w:r w:rsidRPr="00351414">
        <w:rPr>
          <w:lang w:val="en-US"/>
        </w:rPr>
        <w:t xml:space="preserve"> Aarav’s monthly review confirmed that iron, vitamin D, and glucose levels remained stable. Dr. Patel reduced the frequency of lab testing, marking confidence in Aarav’s ability to self-manage and sustain progress.</w:t>
      </w:r>
    </w:p>
    <w:p w14:paraId="13A9D748" w14:textId="77777777" w:rsidR="00351414" w:rsidRPr="00351414" w:rsidRDefault="00351414" w:rsidP="00351414">
      <w:pPr>
        <w:numPr>
          <w:ilvl w:val="0"/>
          <w:numId w:val="1"/>
        </w:numPr>
        <w:spacing w:after="0"/>
        <w:jc w:val="both"/>
        <w:rPr>
          <w:lang w:val="en-US"/>
        </w:rPr>
      </w:pPr>
      <w:r w:rsidRPr="00351414">
        <w:rPr>
          <w:b/>
          <w:bCs/>
          <w:lang w:val="en-US"/>
        </w:rPr>
        <w:t>Nutrition:</w:t>
      </w:r>
      <w:r w:rsidRPr="00351414">
        <w:rPr>
          <w:lang w:val="en-US"/>
        </w:rPr>
        <w:t xml:space="preserve"> Carla praised Aarav’s creativity with recipes and guided him on mindful eating while dining out. She also emphasized minimizing processed foods, helping Aarav build resilient long-term habits.</w:t>
      </w:r>
    </w:p>
    <w:p w14:paraId="75B4A3F1" w14:textId="77777777" w:rsidR="00351414" w:rsidRPr="00351414" w:rsidRDefault="00351414" w:rsidP="00351414">
      <w:pPr>
        <w:numPr>
          <w:ilvl w:val="0"/>
          <w:numId w:val="1"/>
        </w:numPr>
        <w:spacing w:after="0"/>
        <w:jc w:val="both"/>
        <w:rPr>
          <w:lang w:val="en-US"/>
        </w:rPr>
      </w:pPr>
      <w:r w:rsidRPr="00351414">
        <w:rPr>
          <w:b/>
          <w:bCs/>
          <w:lang w:val="en-US"/>
        </w:rPr>
        <w:t>Physiotherapy:</w:t>
      </w:r>
      <w:r w:rsidRPr="00351414">
        <w:rPr>
          <w:lang w:val="en-US"/>
        </w:rPr>
        <w:t xml:space="preserve"> Rachel structured a staged return-to-running plan, encouraging Aarav to tune into body signals and pace himself gradually. Aarav expressed enthusiasm for re-engaging with endurance activities.</w:t>
      </w:r>
    </w:p>
    <w:p w14:paraId="2E025CFF" w14:textId="77777777" w:rsidR="00351414" w:rsidRPr="00351414" w:rsidRDefault="00351414" w:rsidP="00351414">
      <w:pPr>
        <w:numPr>
          <w:ilvl w:val="0"/>
          <w:numId w:val="1"/>
        </w:numPr>
        <w:spacing w:after="0"/>
        <w:jc w:val="both"/>
        <w:rPr>
          <w:lang w:val="en-US"/>
        </w:rPr>
      </w:pPr>
      <w:r w:rsidRPr="00351414">
        <w:rPr>
          <w:b/>
          <w:bCs/>
          <w:lang w:val="en-US"/>
        </w:rPr>
        <w:t>Mental Health:</w:t>
      </w:r>
      <w:r w:rsidRPr="00351414">
        <w:rPr>
          <w:lang w:val="en-US"/>
        </w:rPr>
        <w:t xml:space="preserve"> With recovery milestones achieved, Dr. Isha set fresh goals around mood stability, fitness, and broader life aspirations. Aarav reported feeling “back to normal” but continued to value mindfulness and reflection practices as anchors.</w:t>
      </w:r>
    </w:p>
    <w:p w14:paraId="2BB673A3" w14:textId="77777777" w:rsidR="00351414" w:rsidRPr="00351414" w:rsidRDefault="00351414" w:rsidP="00351414">
      <w:pPr>
        <w:numPr>
          <w:ilvl w:val="0"/>
          <w:numId w:val="1"/>
        </w:numPr>
        <w:spacing w:after="0"/>
        <w:jc w:val="both"/>
        <w:rPr>
          <w:lang w:val="en-US"/>
        </w:rPr>
      </w:pPr>
      <w:r w:rsidRPr="00351414">
        <w:rPr>
          <w:b/>
          <w:bCs/>
          <w:lang w:val="en-US"/>
        </w:rPr>
        <w:t>Engagement:</w:t>
      </w:r>
      <w:r w:rsidRPr="00351414">
        <w:rPr>
          <w:lang w:val="en-US"/>
        </w:rPr>
        <w:t xml:space="preserve"> Aarav joined the </w:t>
      </w:r>
      <w:proofErr w:type="spellStart"/>
      <w:r w:rsidRPr="00351414">
        <w:rPr>
          <w:lang w:val="en-US"/>
        </w:rPr>
        <w:t>Elyx</w:t>
      </w:r>
      <w:proofErr w:type="spellEnd"/>
      <w:r w:rsidRPr="00351414">
        <w:rPr>
          <w:lang w:val="en-US"/>
        </w:rPr>
        <w:t xml:space="preserve"> alumni support group, where he openly shared his journey and was invited to mentor newcomers. This recognition reinforced his sense of purpose and belonging.</w:t>
      </w:r>
    </w:p>
    <w:p w14:paraId="117EF541" w14:textId="77777777" w:rsidR="00351414" w:rsidRPr="00351414" w:rsidRDefault="00351414" w:rsidP="00351414">
      <w:pPr>
        <w:numPr>
          <w:ilvl w:val="0"/>
          <w:numId w:val="1"/>
        </w:numPr>
        <w:spacing w:after="0"/>
        <w:jc w:val="both"/>
        <w:rPr>
          <w:lang w:val="en-US"/>
        </w:rPr>
      </w:pPr>
      <w:r w:rsidRPr="00351414">
        <w:rPr>
          <w:b/>
          <w:bCs/>
          <w:lang w:val="en-US"/>
        </w:rPr>
        <w:t>Overall:</w:t>
      </w:r>
      <w:r w:rsidRPr="00351414">
        <w:rPr>
          <w:lang w:val="en-US"/>
        </w:rPr>
        <w:t xml:space="preserve"> A milestone week—Aarav transitioned toward independence with balance and confidence, while still drawing occasional guidance from the care team.</w:t>
      </w:r>
    </w:p>
    <w:p w14:paraId="4E938B90" w14:textId="77777777" w:rsidR="00351414" w:rsidRPr="00351414" w:rsidRDefault="00351414" w:rsidP="00351414">
      <w:pPr>
        <w:spacing w:after="0"/>
        <w:ind w:firstLine="709"/>
        <w:jc w:val="both"/>
        <w:rPr>
          <w:lang w:val="en-US"/>
        </w:rPr>
      </w:pPr>
      <w:r w:rsidRPr="00351414">
        <w:rPr>
          <w:lang w:val="en-US"/>
        </w:rPr>
        <w:pict w14:anchorId="193BA957">
          <v:rect id="_x0000_i1031" style="width:0;height:1.5pt" o:hralign="center" o:hrstd="t" o:hr="t" fillcolor="#a0a0a0" stroked="f"/>
        </w:pict>
      </w:r>
    </w:p>
    <w:p w14:paraId="0D5E020F" w14:textId="77777777" w:rsidR="00351414" w:rsidRPr="00351414" w:rsidRDefault="00351414" w:rsidP="00351414">
      <w:pPr>
        <w:spacing w:after="0"/>
        <w:ind w:firstLine="709"/>
        <w:jc w:val="both"/>
        <w:rPr>
          <w:b/>
          <w:bCs/>
          <w:lang w:val="en-US"/>
        </w:rPr>
      </w:pPr>
      <w:r w:rsidRPr="00351414">
        <w:rPr>
          <w:b/>
          <w:bCs/>
          <w:lang w:val="en-US"/>
        </w:rPr>
        <w:t>Week 9 Table (Word-Compatible)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1843"/>
        <w:gridCol w:w="2033"/>
        <w:gridCol w:w="3043"/>
      </w:tblGrid>
      <w:tr w:rsidR="00351414" w:rsidRPr="00351414" w14:paraId="366E1102" w14:textId="77777777">
        <w:trPr>
          <w:tblHeader/>
          <w:tblCellSpacing w:w="15" w:type="dxa"/>
        </w:trPr>
        <w:tc>
          <w:tcPr>
            <w:tcW w:w="0" w:type="auto"/>
            <w:vAlign w:val="center"/>
            <w:hideMark/>
          </w:tcPr>
          <w:p w14:paraId="6A81BEC1" w14:textId="77777777" w:rsidR="00351414" w:rsidRPr="00351414" w:rsidRDefault="00351414" w:rsidP="00351414">
            <w:pPr>
              <w:spacing w:after="0"/>
              <w:ind w:firstLine="709"/>
              <w:jc w:val="both"/>
              <w:rPr>
                <w:b/>
                <w:bCs/>
                <w:lang w:val="en-US"/>
              </w:rPr>
            </w:pPr>
            <w:r w:rsidRPr="00351414">
              <w:rPr>
                <w:b/>
                <w:bCs/>
                <w:lang w:val="en-US"/>
              </w:rPr>
              <w:t>Week 9 Key Tests</w:t>
            </w:r>
          </w:p>
        </w:tc>
        <w:tc>
          <w:tcPr>
            <w:tcW w:w="0" w:type="auto"/>
            <w:vAlign w:val="center"/>
            <w:hideMark/>
          </w:tcPr>
          <w:p w14:paraId="0E7FF2FE" w14:textId="77777777" w:rsidR="00351414" w:rsidRPr="00351414" w:rsidRDefault="00351414" w:rsidP="00351414">
            <w:pPr>
              <w:spacing w:after="0"/>
              <w:ind w:firstLine="709"/>
              <w:jc w:val="both"/>
              <w:rPr>
                <w:b/>
                <w:bCs/>
                <w:lang w:val="en-US"/>
              </w:rPr>
            </w:pPr>
            <w:r w:rsidRPr="00351414">
              <w:rPr>
                <w:b/>
                <w:bCs/>
                <w:lang w:val="en-US"/>
              </w:rPr>
              <w:t>Value</w:t>
            </w:r>
          </w:p>
        </w:tc>
        <w:tc>
          <w:tcPr>
            <w:tcW w:w="0" w:type="auto"/>
            <w:vAlign w:val="center"/>
            <w:hideMark/>
          </w:tcPr>
          <w:p w14:paraId="5D99BDEF" w14:textId="77777777" w:rsidR="00351414" w:rsidRPr="00351414" w:rsidRDefault="00351414" w:rsidP="00351414">
            <w:pPr>
              <w:spacing w:after="0"/>
              <w:ind w:firstLine="709"/>
              <w:jc w:val="both"/>
              <w:rPr>
                <w:b/>
                <w:bCs/>
                <w:lang w:val="en-US"/>
              </w:rPr>
            </w:pPr>
            <w:r w:rsidRPr="00351414">
              <w:rPr>
                <w:b/>
                <w:bCs/>
                <w:lang w:val="en-US"/>
              </w:rPr>
              <w:t>Normal Range</w:t>
            </w:r>
          </w:p>
        </w:tc>
        <w:tc>
          <w:tcPr>
            <w:tcW w:w="0" w:type="auto"/>
            <w:vAlign w:val="center"/>
            <w:hideMark/>
          </w:tcPr>
          <w:p w14:paraId="6E18547C" w14:textId="77777777" w:rsidR="00351414" w:rsidRPr="00351414" w:rsidRDefault="00351414" w:rsidP="00351414">
            <w:pPr>
              <w:spacing w:after="0"/>
              <w:ind w:firstLine="709"/>
              <w:jc w:val="both"/>
              <w:rPr>
                <w:b/>
                <w:bCs/>
                <w:lang w:val="en-US"/>
              </w:rPr>
            </w:pPr>
            <w:r w:rsidRPr="00351414">
              <w:rPr>
                <w:b/>
                <w:bCs/>
                <w:lang w:val="en-US"/>
              </w:rPr>
              <w:t>Comments</w:t>
            </w:r>
          </w:p>
        </w:tc>
      </w:tr>
      <w:tr w:rsidR="00351414" w:rsidRPr="00351414" w14:paraId="70046CEA" w14:textId="77777777">
        <w:trPr>
          <w:tblCellSpacing w:w="15" w:type="dxa"/>
        </w:trPr>
        <w:tc>
          <w:tcPr>
            <w:tcW w:w="0" w:type="auto"/>
            <w:vAlign w:val="center"/>
            <w:hideMark/>
          </w:tcPr>
          <w:p w14:paraId="378F4C39" w14:textId="77777777" w:rsidR="00351414" w:rsidRPr="00351414" w:rsidRDefault="00351414" w:rsidP="00351414">
            <w:pPr>
              <w:spacing w:after="0"/>
              <w:ind w:firstLine="709"/>
              <w:jc w:val="both"/>
              <w:rPr>
                <w:lang w:val="en-US"/>
              </w:rPr>
            </w:pPr>
            <w:r w:rsidRPr="00351414">
              <w:rPr>
                <w:lang w:val="en-US"/>
              </w:rPr>
              <w:t>Ferritin (Monthly)</w:t>
            </w:r>
          </w:p>
        </w:tc>
        <w:tc>
          <w:tcPr>
            <w:tcW w:w="0" w:type="auto"/>
            <w:vAlign w:val="center"/>
            <w:hideMark/>
          </w:tcPr>
          <w:p w14:paraId="0F6C0006" w14:textId="77777777" w:rsidR="00351414" w:rsidRPr="00351414" w:rsidRDefault="00351414" w:rsidP="00351414">
            <w:pPr>
              <w:spacing w:after="0"/>
              <w:ind w:firstLine="709"/>
              <w:jc w:val="both"/>
              <w:rPr>
                <w:lang w:val="en-US"/>
              </w:rPr>
            </w:pPr>
            <w:r w:rsidRPr="00351414">
              <w:rPr>
                <w:lang w:val="en-US"/>
              </w:rPr>
              <w:t>50 ng/mL</w:t>
            </w:r>
          </w:p>
        </w:tc>
        <w:tc>
          <w:tcPr>
            <w:tcW w:w="0" w:type="auto"/>
            <w:vAlign w:val="center"/>
            <w:hideMark/>
          </w:tcPr>
          <w:p w14:paraId="3D49AD70" w14:textId="77777777" w:rsidR="00351414" w:rsidRPr="00351414" w:rsidRDefault="00351414" w:rsidP="00351414">
            <w:pPr>
              <w:spacing w:after="0"/>
              <w:ind w:firstLine="709"/>
              <w:jc w:val="both"/>
              <w:rPr>
                <w:lang w:val="en-US"/>
              </w:rPr>
            </w:pPr>
            <w:r w:rsidRPr="00351414">
              <w:rPr>
                <w:lang w:val="en-US"/>
              </w:rPr>
              <w:t>30–400 ng/mL</w:t>
            </w:r>
          </w:p>
        </w:tc>
        <w:tc>
          <w:tcPr>
            <w:tcW w:w="0" w:type="auto"/>
            <w:vAlign w:val="center"/>
            <w:hideMark/>
          </w:tcPr>
          <w:p w14:paraId="4E8F718F" w14:textId="77777777" w:rsidR="00351414" w:rsidRPr="00351414" w:rsidRDefault="00351414" w:rsidP="00351414">
            <w:pPr>
              <w:spacing w:after="0"/>
              <w:ind w:firstLine="709"/>
              <w:jc w:val="both"/>
              <w:rPr>
                <w:lang w:val="en-US"/>
              </w:rPr>
            </w:pPr>
            <w:r w:rsidRPr="00351414">
              <w:rPr>
                <w:lang w:val="en-US"/>
              </w:rPr>
              <w:t>Stable, maintained</w:t>
            </w:r>
          </w:p>
        </w:tc>
      </w:tr>
      <w:tr w:rsidR="00351414" w:rsidRPr="00351414" w14:paraId="29D55DC7" w14:textId="77777777">
        <w:trPr>
          <w:tblCellSpacing w:w="15" w:type="dxa"/>
        </w:trPr>
        <w:tc>
          <w:tcPr>
            <w:tcW w:w="0" w:type="auto"/>
            <w:vAlign w:val="center"/>
            <w:hideMark/>
          </w:tcPr>
          <w:p w14:paraId="74D33169" w14:textId="77777777" w:rsidR="00351414" w:rsidRPr="00351414" w:rsidRDefault="00351414" w:rsidP="00351414">
            <w:pPr>
              <w:spacing w:after="0"/>
              <w:ind w:firstLine="709"/>
              <w:jc w:val="both"/>
              <w:rPr>
                <w:lang w:val="en-US"/>
              </w:rPr>
            </w:pPr>
            <w:r w:rsidRPr="00351414">
              <w:rPr>
                <w:lang w:val="en-US"/>
              </w:rPr>
              <w:t>Vitamin D (25-OH)</w:t>
            </w:r>
          </w:p>
        </w:tc>
        <w:tc>
          <w:tcPr>
            <w:tcW w:w="0" w:type="auto"/>
            <w:vAlign w:val="center"/>
            <w:hideMark/>
          </w:tcPr>
          <w:p w14:paraId="651B7244" w14:textId="77777777" w:rsidR="00351414" w:rsidRPr="00351414" w:rsidRDefault="00351414" w:rsidP="00351414">
            <w:pPr>
              <w:spacing w:after="0"/>
              <w:ind w:firstLine="709"/>
              <w:jc w:val="both"/>
              <w:rPr>
                <w:lang w:val="en-US"/>
              </w:rPr>
            </w:pPr>
            <w:r w:rsidRPr="00351414">
              <w:rPr>
                <w:lang w:val="en-US"/>
              </w:rPr>
              <w:t>34 ng/mL</w:t>
            </w:r>
          </w:p>
        </w:tc>
        <w:tc>
          <w:tcPr>
            <w:tcW w:w="0" w:type="auto"/>
            <w:vAlign w:val="center"/>
            <w:hideMark/>
          </w:tcPr>
          <w:p w14:paraId="68FB94E9" w14:textId="77777777" w:rsidR="00351414" w:rsidRPr="00351414" w:rsidRDefault="00351414" w:rsidP="00351414">
            <w:pPr>
              <w:spacing w:after="0"/>
              <w:ind w:firstLine="709"/>
              <w:jc w:val="both"/>
              <w:rPr>
                <w:lang w:val="en-US"/>
              </w:rPr>
            </w:pPr>
            <w:r w:rsidRPr="00351414">
              <w:rPr>
                <w:lang w:val="en-US"/>
              </w:rPr>
              <w:t>&gt;30 ng/mL</w:t>
            </w:r>
          </w:p>
        </w:tc>
        <w:tc>
          <w:tcPr>
            <w:tcW w:w="0" w:type="auto"/>
            <w:vAlign w:val="center"/>
            <w:hideMark/>
          </w:tcPr>
          <w:p w14:paraId="168C924D" w14:textId="77777777" w:rsidR="00351414" w:rsidRPr="00351414" w:rsidRDefault="00351414" w:rsidP="00351414">
            <w:pPr>
              <w:spacing w:after="0"/>
              <w:ind w:firstLine="709"/>
              <w:jc w:val="both"/>
              <w:rPr>
                <w:lang w:val="en-US"/>
              </w:rPr>
            </w:pPr>
            <w:r w:rsidRPr="00351414">
              <w:rPr>
                <w:lang w:val="en-US"/>
              </w:rPr>
              <w:t>Adequate, sustained</w:t>
            </w:r>
          </w:p>
        </w:tc>
      </w:tr>
      <w:tr w:rsidR="00351414" w:rsidRPr="00351414" w14:paraId="30C1DA7B" w14:textId="77777777">
        <w:trPr>
          <w:tblCellSpacing w:w="15" w:type="dxa"/>
        </w:trPr>
        <w:tc>
          <w:tcPr>
            <w:tcW w:w="0" w:type="auto"/>
            <w:vAlign w:val="center"/>
            <w:hideMark/>
          </w:tcPr>
          <w:p w14:paraId="797B71E8" w14:textId="77777777" w:rsidR="00351414" w:rsidRPr="00351414" w:rsidRDefault="00351414" w:rsidP="00351414">
            <w:pPr>
              <w:spacing w:after="0"/>
              <w:ind w:firstLine="709"/>
              <w:jc w:val="both"/>
              <w:rPr>
                <w:lang w:val="en-US"/>
              </w:rPr>
            </w:pPr>
            <w:r w:rsidRPr="00351414">
              <w:rPr>
                <w:lang w:val="en-US"/>
              </w:rPr>
              <w:t>Fasting Glucose</w:t>
            </w:r>
          </w:p>
        </w:tc>
        <w:tc>
          <w:tcPr>
            <w:tcW w:w="0" w:type="auto"/>
            <w:vAlign w:val="center"/>
            <w:hideMark/>
          </w:tcPr>
          <w:p w14:paraId="0FCDD096" w14:textId="77777777" w:rsidR="00351414" w:rsidRPr="00351414" w:rsidRDefault="00351414" w:rsidP="00351414">
            <w:pPr>
              <w:spacing w:after="0"/>
              <w:ind w:firstLine="709"/>
              <w:jc w:val="both"/>
              <w:rPr>
                <w:lang w:val="en-US"/>
              </w:rPr>
            </w:pPr>
            <w:r w:rsidRPr="00351414">
              <w:rPr>
                <w:lang w:val="en-US"/>
              </w:rPr>
              <w:t>92 mg/dL</w:t>
            </w:r>
          </w:p>
        </w:tc>
        <w:tc>
          <w:tcPr>
            <w:tcW w:w="0" w:type="auto"/>
            <w:vAlign w:val="center"/>
            <w:hideMark/>
          </w:tcPr>
          <w:p w14:paraId="65C7D558" w14:textId="77777777" w:rsidR="00351414" w:rsidRPr="00351414" w:rsidRDefault="00351414" w:rsidP="00351414">
            <w:pPr>
              <w:spacing w:after="0"/>
              <w:ind w:firstLine="709"/>
              <w:jc w:val="both"/>
              <w:rPr>
                <w:lang w:val="en-US"/>
              </w:rPr>
            </w:pPr>
            <w:r w:rsidRPr="00351414">
              <w:rPr>
                <w:lang w:val="en-US"/>
              </w:rPr>
              <w:t>70–99 mg/dL</w:t>
            </w:r>
          </w:p>
        </w:tc>
        <w:tc>
          <w:tcPr>
            <w:tcW w:w="0" w:type="auto"/>
            <w:vAlign w:val="center"/>
            <w:hideMark/>
          </w:tcPr>
          <w:p w14:paraId="3E507C6B" w14:textId="77777777" w:rsidR="00351414" w:rsidRPr="00351414" w:rsidRDefault="00351414" w:rsidP="00351414">
            <w:pPr>
              <w:spacing w:after="0"/>
              <w:ind w:firstLine="709"/>
              <w:jc w:val="both"/>
              <w:rPr>
                <w:lang w:val="en-US"/>
              </w:rPr>
            </w:pPr>
            <w:r w:rsidRPr="00351414">
              <w:rPr>
                <w:lang w:val="en-US"/>
              </w:rPr>
              <w:t>Well controlled</w:t>
            </w:r>
          </w:p>
        </w:tc>
      </w:tr>
      <w:tr w:rsidR="00351414" w:rsidRPr="00351414" w14:paraId="060D0AC3" w14:textId="77777777">
        <w:trPr>
          <w:tblCellSpacing w:w="15" w:type="dxa"/>
        </w:trPr>
        <w:tc>
          <w:tcPr>
            <w:tcW w:w="0" w:type="auto"/>
            <w:vAlign w:val="center"/>
            <w:hideMark/>
          </w:tcPr>
          <w:p w14:paraId="17E770B6" w14:textId="77777777" w:rsidR="00351414" w:rsidRPr="00351414" w:rsidRDefault="00351414" w:rsidP="00351414">
            <w:pPr>
              <w:spacing w:after="0"/>
              <w:ind w:firstLine="709"/>
              <w:jc w:val="both"/>
              <w:rPr>
                <w:lang w:val="en-US"/>
              </w:rPr>
            </w:pPr>
            <w:r w:rsidRPr="00351414">
              <w:rPr>
                <w:lang w:val="en-US"/>
              </w:rPr>
              <w:t>HbA1c</w:t>
            </w:r>
          </w:p>
        </w:tc>
        <w:tc>
          <w:tcPr>
            <w:tcW w:w="0" w:type="auto"/>
            <w:vAlign w:val="center"/>
            <w:hideMark/>
          </w:tcPr>
          <w:p w14:paraId="24DBA94C" w14:textId="77777777" w:rsidR="00351414" w:rsidRPr="00351414" w:rsidRDefault="00351414" w:rsidP="00351414">
            <w:pPr>
              <w:spacing w:after="0"/>
              <w:ind w:firstLine="709"/>
              <w:jc w:val="both"/>
              <w:rPr>
                <w:lang w:val="en-US"/>
              </w:rPr>
            </w:pPr>
            <w:r w:rsidRPr="00351414">
              <w:rPr>
                <w:lang w:val="en-US"/>
              </w:rPr>
              <w:t>5.4%</w:t>
            </w:r>
          </w:p>
        </w:tc>
        <w:tc>
          <w:tcPr>
            <w:tcW w:w="0" w:type="auto"/>
            <w:vAlign w:val="center"/>
            <w:hideMark/>
          </w:tcPr>
          <w:p w14:paraId="19FA7E69" w14:textId="77777777" w:rsidR="00351414" w:rsidRPr="00351414" w:rsidRDefault="00351414" w:rsidP="00351414">
            <w:pPr>
              <w:spacing w:after="0"/>
              <w:ind w:firstLine="709"/>
              <w:jc w:val="both"/>
              <w:rPr>
                <w:lang w:val="en-US"/>
              </w:rPr>
            </w:pPr>
            <w:r w:rsidRPr="00351414">
              <w:rPr>
                <w:lang w:val="en-US"/>
              </w:rPr>
              <w:t>&lt;5.7%</w:t>
            </w:r>
          </w:p>
        </w:tc>
        <w:tc>
          <w:tcPr>
            <w:tcW w:w="0" w:type="auto"/>
            <w:vAlign w:val="center"/>
            <w:hideMark/>
          </w:tcPr>
          <w:p w14:paraId="39D045A8" w14:textId="77777777" w:rsidR="00351414" w:rsidRPr="00351414" w:rsidRDefault="00351414" w:rsidP="00351414">
            <w:pPr>
              <w:spacing w:after="0"/>
              <w:ind w:firstLine="709"/>
              <w:jc w:val="both"/>
              <w:rPr>
                <w:lang w:val="en-US"/>
              </w:rPr>
            </w:pPr>
            <w:r w:rsidRPr="00351414">
              <w:rPr>
                <w:lang w:val="en-US"/>
              </w:rPr>
              <w:t>Continued normal</w:t>
            </w:r>
          </w:p>
        </w:tc>
      </w:tr>
      <w:tr w:rsidR="00351414" w:rsidRPr="00351414" w14:paraId="6FAD15D3" w14:textId="77777777">
        <w:trPr>
          <w:tblCellSpacing w:w="15" w:type="dxa"/>
        </w:trPr>
        <w:tc>
          <w:tcPr>
            <w:tcW w:w="0" w:type="auto"/>
            <w:vAlign w:val="center"/>
            <w:hideMark/>
          </w:tcPr>
          <w:p w14:paraId="3D628E51" w14:textId="77777777" w:rsidR="00351414" w:rsidRPr="00351414" w:rsidRDefault="00351414" w:rsidP="00351414">
            <w:pPr>
              <w:spacing w:after="0"/>
              <w:ind w:firstLine="709"/>
              <w:jc w:val="both"/>
              <w:rPr>
                <w:lang w:val="en-US"/>
              </w:rPr>
            </w:pPr>
            <w:r w:rsidRPr="00351414">
              <w:rPr>
                <w:lang w:val="en-US"/>
              </w:rPr>
              <w:t>CRP (Inflammation)</w:t>
            </w:r>
          </w:p>
        </w:tc>
        <w:tc>
          <w:tcPr>
            <w:tcW w:w="0" w:type="auto"/>
            <w:vAlign w:val="center"/>
            <w:hideMark/>
          </w:tcPr>
          <w:p w14:paraId="08FA8B1A" w14:textId="77777777" w:rsidR="00351414" w:rsidRPr="00351414" w:rsidRDefault="00351414" w:rsidP="00351414">
            <w:pPr>
              <w:spacing w:after="0"/>
              <w:ind w:firstLine="709"/>
              <w:jc w:val="both"/>
              <w:rPr>
                <w:lang w:val="en-US"/>
              </w:rPr>
            </w:pPr>
            <w:r w:rsidRPr="00351414">
              <w:rPr>
                <w:lang w:val="en-US"/>
              </w:rPr>
              <w:t>0.9 mg/L</w:t>
            </w:r>
          </w:p>
        </w:tc>
        <w:tc>
          <w:tcPr>
            <w:tcW w:w="0" w:type="auto"/>
            <w:vAlign w:val="center"/>
            <w:hideMark/>
          </w:tcPr>
          <w:p w14:paraId="0EB7177A" w14:textId="77777777" w:rsidR="00351414" w:rsidRPr="00351414" w:rsidRDefault="00351414" w:rsidP="00351414">
            <w:pPr>
              <w:spacing w:after="0"/>
              <w:ind w:firstLine="709"/>
              <w:jc w:val="both"/>
              <w:rPr>
                <w:lang w:val="en-US"/>
              </w:rPr>
            </w:pPr>
            <w:r w:rsidRPr="00351414">
              <w:rPr>
                <w:lang w:val="en-US"/>
              </w:rPr>
              <w:t>&lt;3 mg/L</w:t>
            </w:r>
          </w:p>
        </w:tc>
        <w:tc>
          <w:tcPr>
            <w:tcW w:w="0" w:type="auto"/>
            <w:vAlign w:val="center"/>
            <w:hideMark/>
          </w:tcPr>
          <w:p w14:paraId="210C4B2F" w14:textId="77777777" w:rsidR="00351414" w:rsidRPr="00351414" w:rsidRDefault="00351414" w:rsidP="00351414">
            <w:pPr>
              <w:spacing w:after="0"/>
              <w:ind w:firstLine="709"/>
              <w:jc w:val="both"/>
              <w:rPr>
                <w:lang w:val="en-US"/>
              </w:rPr>
            </w:pPr>
            <w:r w:rsidRPr="00351414">
              <w:rPr>
                <w:lang w:val="en-US"/>
              </w:rPr>
              <w:t>Stable low</w:t>
            </w:r>
          </w:p>
        </w:tc>
      </w:tr>
      <w:tr w:rsidR="00351414" w:rsidRPr="00351414" w14:paraId="15918AB6" w14:textId="77777777">
        <w:trPr>
          <w:tblCellSpacing w:w="15" w:type="dxa"/>
        </w:trPr>
        <w:tc>
          <w:tcPr>
            <w:tcW w:w="0" w:type="auto"/>
            <w:vAlign w:val="center"/>
            <w:hideMark/>
          </w:tcPr>
          <w:p w14:paraId="5E2B31FE" w14:textId="77777777" w:rsidR="00351414" w:rsidRPr="00351414" w:rsidRDefault="00351414" w:rsidP="00351414">
            <w:pPr>
              <w:spacing w:after="0"/>
              <w:ind w:firstLine="709"/>
              <w:jc w:val="both"/>
              <w:rPr>
                <w:lang w:val="en-US"/>
              </w:rPr>
            </w:pPr>
            <w:r w:rsidRPr="00351414">
              <w:rPr>
                <w:lang w:val="en-US"/>
              </w:rPr>
              <w:t>Resting Pulse Rate</w:t>
            </w:r>
          </w:p>
        </w:tc>
        <w:tc>
          <w:tcPr>
            <w:tcW w:w="0" w:type="auto"/>
            <w:vAlign w:val="center"/>
            <w:hideMark/>
          </w:tcPr>
          <w:p w14:paraId="3A29BE4E" w14:textId="77777777" w:rsidR="00351414" w:rsidRPr="00351414" w:rsidRDefault="00351414" w:rsidP="00351414">
            <w:pPr>
              <w:spacing w:after="0"/>
              <w:ind w:firstLine="709"/>
              <w:jc w:val="both"/>
              <w:rPr>
                <w:lang w:val="en-US"/>
              </w:rPr>
            </w:pPr>
            <w:r w:rsidRPr="00351414">
              <w:rPr>
                <w:lang w:val="en-US"/>
              </w:rPr>
              <w:t>66 bpm</w:t>
            </w:r>
          </w:p>
        </w:tc>
        <w:tc>
          <w:tcPr>
            <w:tcW w:w="0" w:type="auto"/>
            <w:vAlign w:val="center"/>
            <w:hideMark/>
          </w:tcPr>
          <w:p w14:paraId="6E7698CA" w14:textId="77777777" w:rsidR="00351414" w:rsidRPr="00351414" w:rsidRDefault="00351414" w:rsidP="00351414">
            <w:pPr>
              <w:spacing w:after="0"/>
              <w:ind w:firstLine="709"/>
              <w:jc w:val="both"/>
              <w:rPr>
                <w:lang w:val="en-US"/>
              </w:rPr>
            </w:pPr>
            <w:r w:rsidRPr="00351414">
              <w:rPr>
                <w:lang w:val="en-US"/>
              </w:rPr>
              <w:t>50–70 bpm</w:t>
            </w:r>
          </w:p>
        </w:tc>
        <w:tc>
          <w:tcPr>
            <w:tcW w:w="0" w:type="auto"/>
            <w:vAlign w:val="center"/>
            <w:hideMark/>
          </w:tcPr>
          <w:p w14:paraId="56D07125" w14:textId="77777777" w:rsidR="00351414" w:rsidRPr="00351414" w:rsidRDefault="00351414" w:rsidP="00351414">
            <w:pPr>
              <w:spacing w:after="0"/>
              <w:ind w:firstLine="709"/>
              <w:jc w:val="both"/>
              <w:rPr>
                <w:lang w:val="en-US"/>
              </w:rPr>
            </w:pPr>
            <w:r w:rsidRPr="00351414">
              <w:rPr>
                <w:lang w:val="en-US"/>
              </w:rPr>
              <w:t>Athlete-level baseline</w:t>
            </w:r>
          </w:p>
        </w:tc>
      </w:tr>
      <w:tr w:rsidR="00351414" w:rsidRPr="00351414" w14:paraId="4C18D529" w14:textId="77777777">
        <w:trPr>
          <w:tblCellSpacing w:w="15" w:type="dxa"/>
        </w:trPr>
        <w:tc>
          <w:tcPr>
            <w:tcW w:w="0" w:type="auto"/>
            <w:vAlign w:val="center"/>
            <w:hideMark/>
          </w:tcPr>
          <w:p w14:paraId="0B831BAC" w14:textId="77777777" w:rsidR="00351414" w:rsidRPr="00351414" w:rsidRDefault="00351414" w:rsidP="00351414">
            <w:pPr>
              <w:spacing w:after="0"/>
              <w:ind w:firstLine="709"/>
              <w:jc w:val="both"/>
              <w:rPr>
                <w:lang w:val="en-US"/>
              </w:rPr>
            </w:pPr>
            <w:r w:rsidRPr="00351414">
              <w:rPr>
                <w:lang w:val="en-US"/>
              </w:rPr>
              <w:t>PHQ-9 (Depression)</w:t>
            </w:r>
          </w:p>
        </w:tc>
        <w:tc>
          <w:tcPr>
            <w:tcW w:w="0" w:type="auto"/>
            <w:vAlign w:val="center"/>
            <w:hideMark/>
          </w:tcPr>
          <w:p w14:paraId="3FC947C3" w14:textId="77777777" w:rsidR="00351414" w:rsidRPr="00351414" w:rsidRDefault="00351414" w:rsidP="00351414">
            <w:pPr>
              <w:spacing w:after="0"/>
              <w:ind w:firstLine="709"/>
              <w:jc w:val="both"/>
              <w:rPr>
                <w:lang w:val="en-US"/>
              </w:rPr>
            </w:pPr>
            <w:r w:rsidRPr="00351414">
              <w:rPr>
                <w:lang w:val="en-US"/>
              </w:rPr>
              <w:t>2</w:t>
            </w:r>
          </w:p>
        </w:tc>
        <w:tc>
          <w:tcPr>
            <w:tcW w:w="0" w:type="auto"/>
            <w:vAlign w:val="center"/>
            <w:hideMark/>
          </w:tcPr>
          <w:p w14:paraId="27D2D91C" w14:textId="77777777" w:rsidR="00351414" w:rsidRPr="00351414" w:rsidRDefault="00351414" w:rsidP="00351414">
            <w:pPr>
              <w:spacing w:after="0"/>
              <w:ind w:firstLine="709"/>
              <w:jc w:val="both"/>
              <w:rPr>
                <w:lang w:val="en-US"/>
              </w:rPr>
            </w:pPr>
            <w:r w:rsidRPr="00351414">
              <w:rPr>
                <w:lang w:val="en-US"/>
              </w:rPr>
              <w:t>0–4 minimal</w:t>
            </w:r>
          </w:p>
        </w:tc>
        <w:tc>
          <w:tcPr>
            <w:tcW w:w="0" w:type="auto"/>
            <w:vAlign w:val="center"/>
            <w:hideMark/>
          </w:tcPr>
          <w:p w14:paraId="5EDFD5C5" w14:textId="77777777" w:rsidR="00351414" w:rsidRPr="00351414" w:rsidRDefault="00351414" w:rsidP="00351414">
            <w:pPr>
              <w:spacing w:after="0"/>
              <w:ind w:firstLine="709"/>
              <w:jc w:val="both"/>
              <w:rPr>
                <w:lang w:val="en-US"/>
              </w:rPr>
            </w:pPr>
            <w:r w:rsidRPr="00351414">
              <w:rPr>
                <w:lang w:val="en-US"/>
              </w:rPr>
              <w:t>Minimal, near remission</w:t>
            </w:r>
          </w:p>
        </w:tc>
      </w:tr>
      <w:tr w:rsidR="00351414" w:rsidRPr="00351414" w14:paraId="5F75AE26" w14:textId="77777777">
        <w:trPr>
          <w:tblCellSpacing w:w="15" w:type="dxa"/>
        </w:trPr>
        <w:tc>
          <w:tcPr>
            <w:tcW w:w="0" w:type="auto"/>
            <w:vAlign w:val="center"/>
            <w:hideMark/>
          </w:tcPr>
          <w:p w14:paraId="6FB663A1" w14:textId="77777777" w:rsidR="00351414" w:rsidRPr="00351414" w:rsidRDefault="00351414" w:rsidP="00351414">
            <w:pPr>
              <w:spacing w:after="0"/>
              <w:ind w:firstLine="709"/>
              <w:jc w:val="both"/>
              <w:rPr>
                <w:lang w:val="en-US"/>
              </w:rPr>
            </w:pPr>
            <w:r w:rsidRPr="00351414">
              <w:rPr>
                <w:lang w:val="en-US"/>
              </w:rPr>
              <w:t>Sleep Efficiency</w:t>
            </w:r>
          </w:p>
        </w:tc>
        <w:tc>
          <w:tcPr>
            <w:tcW w:w="0" w:type="auto"/>
            <w:vAlign w:val="center"/>
            <w:hideMark/>
          </w:tcPr>
          <w:p w14:paraId="4318FA3E" w14:textId="77777777" w:rsidR="00351414" w:rsidRPr="00351414" w:rsidRDefault="00351414" w:rsidP="00351414">
            <w:pPr>
              <w:spacing w:after="0"/>
              <w:ind w:firstLine="709"/>
              <w:jc w:val="both"/>
              <w:rPr>
                <w:lang w:val="en-US"/>
              </w:rPr>
            </w:pPr>
            <w:r w:rsidRPr="00351414">
              <w:rPr>
                <w:lang w:val="en-US"/>
              </w:rPr>
              <w:t>87%</w:t>
            </w:r>
          </w:p>
        </w:tc>
        <w:tc>
          <w:tcPr>
            <w:tcW w:w="0" w:type="auto"/>
            <w:vAlign w:val="center"/>
            <w:hideMark/>
          </w:tcPr>
          <w:p w14:paraId="304505F3" w14:textId="77777777" w:rsidR="00351414" w:rsidRPr="00351414" w:rsidRDefault="00351414" w:rsidP="00351414">
            <w:pPr>
              <w:spacing w:after="0"/>
              <w:ind w:firstLine="709"/>
              <w:jc w:val="both"/>
              <w:rPr>
                <w:lang w:val="en-US"/>
              </w:rPr>
            </w:pPr>
            <w:r w:rsidRPr="00351414">
              <w:rPr>
                <w:lang w:val="en-US"/>
              </w:rPr>
              <w:t>&gt;85%</w:t>
            </w:r>
          </w:p>
        </w:tc>
        <w:tc>
          <w:tcPr>
            <w:tcW w:w="0" w:type="auto"/>
            <w:vAlign w:val="center"/>
            <w:hideMark/>
          </w:tcPr>
          <w:p w14:paraId="6302048E" w14:textId="77777777" w:rsidR="00351414" w:rsidRPr="00351414" w:rsidRDefault="00351414" w:rsidP="00351414">
            <w:pPr>
              <w:spacing w:after="0"/>
              <w:ind w:firstLine="709"/>
              <w:jc w:val="both"/>
              <w:rPr>
                <w:lang w:val="en-US"/>
              </w:rPr>
            </w:pPr>
            <w:r w:rsidRPr="00351414">
              <w:rPr>
                <w:lang w:val="en-US"/>
              </w:rPr>
              <w:t>Consistent routine</w:t>
            </w:r>
          </w:p>
        </w:tc>
      </w:tr>
      <w:tr w:rsidR="00351414" w:rsidRPr="00351414" w14:paraId="27DB960B" w14:textId="77777777">
        <w:trPr>
          <w:tblCellSpacing w:w="15" w:type="dxa"/>
        </w:trPr>
        <w:tc>
          <w:tcPr>
            <w:tcW w:w="0" w:type="auto"/>
            <w:vAlign w:val="center"/>
            <w:hideMark/>
          </w:tcPr>
          <w:p w14:paraId="40A6DD98" w14:textId="77777777" w:rsidR="00351414" w:rsidRPr="00351414" w:rsidRDefault="00351414" w:rsidP="00351414">
            <w:pPr>
              <w:spacing w:after="0"/>
              <w:ind w:firstLine="709"/>
              <w:jc w:val="both"/>
              <w:rPr>
                <w:lang w:val="en-US"/>
              </w:rPr>
            </w:pPr>
            <w:r w:rsidRPr="00351414">
              <w:rPr>
                <w:lang w:val="en-US"/>
              </w:rPr>
              <w:t>Medicine Compliance</w:t>
            </w:r>
          </w:p>
        </w:tc>
        <w:tc>
          <w:tcPr>
            <w:tcW w:w="0" w:type="auto"/>
            <w:vAlign w:val="center"/>
            <w:hideMark/>
          </w:tcPr>
          <w:p w14:paraId="5C8FD860" w14:textId="77777777" w:rsidR="00351414" w:rsidRPr="00351414" w:rsidRDefault="00351414" w:rsidP="00351414">
            <w:pPr>
              <w:spacing w:after="0"/>
              <w:ind w:firstLine="709"/>
              <w:jc w:val="both"/>
              <w:rPr>
                <w:lang w:val="en-US"/>
              </w:rPr>
            </w:pPr>
            <w:r w:rsidRPr="00351414">
              <w:rPr>
                <w:lang w:val="en-US"/>
              </w:rPr>
              <w:t>Excellent</w:t>
            </w:r>
          </w:p>
        </w:tc>
        <w:tc>
          <w:tcPr>
            <w:tcW w:w="0" w:type="auto"/>
            <w:vAlign w:val="center"/>
            <w:hideMark/>
          </w:tcPr>
          <w:p w14:paraId="156CB1A5" w14:textId="77777777" w:rsidR="00351414" w:rsidRPr="00351414" w:rsidRDefault="00351414" w:rsidP="00351414">
            <w:pPr>
              <w:spacing w:after="0"/>
              <w:ind w:firstLine="709"/>
              <w:jc w:val="both"/>
              <w:rPr>
                <w:lang w:val="en-US"/>
              </w:rPr>
            </w:pPr>
            <w:r w:rsidRPr="00351414">
              <w:rPr>
                <w:lang w:val="en-US"/>
              </w:rPr>
              <w:t>—</w:t>
            </w:r>
          </w:p>
        </w:tc>
        <w:tc>
          <w:tcPr>
            <w:tcW w:w="0" w:type="auto"/>
            <w:vAlign w:val="center"/>
            <w:hideMark/>
          </w:tcPr>
          <w:p w14:paraId="05E7C775" w14:textId="77777777" w:rsidR="00351414" w:rsidRPr="00351414" w:rsidRDefault="00351414" w:rsidP="00351414">
            <w:pPr>
              <w:spacing w:after="0"/>
              <w:ind w:firstLine="709"/>
              <w:jc w:val="both"/>
              <w:rPr>
                <w:lang w:val="en-US"/>
              </w:rPr>
            </w:pPr>
            <w:r w:rsidRPr="00351414">
              <w:rPr>
                <w:lang w:val="en-US"/>
              </w:rPr>
              <w:t>No missed doses, full adherence</w:t>
            </w:r>
          </w:p>
        </w:tc>
      </w:tr>
    </w:tbl>
    <w:p w14:paraId="1109792E" w14:textId="77777777" w:rsidR="00F12C76" w:rsidRPr="00351414" w:rsidRDefault="00F12C76" w:rsidP="006C0B77">
      <w:pPr>
        <w:spacing w:after="0"/>
        <w:ind w:firstLine="709"/>
        <w:jc w:val="both"/>
        <w:rPr>
          <w:lang w:val="en-US"/>
        </w:rPr>
      </w:pPr>
    </w:p>
    <w:sectPr w:rsidR="00F12C76" w:rsidRPr="0035141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37B29"/>
    <w:multiLevelType w:val="multilevel"/>
    <w:tmpl w:val="40C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71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14"/>
    <w:rsid w:val="00351414"/>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1362"/>
  <w15:chartTrackingRefBased/>
  <w15:docId w15:val="{8B453527-ED2E-41AD-881E-E9E648B2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35141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5141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51414"/>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5141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1414"/>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514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14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14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14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41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5141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5141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51414"/>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51414"/>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51414"/>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51414"/>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51414"/>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51414"/>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514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41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51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414"/>
    <w:pPr>
      <w:spacing w:before="160"/>
      <w:jc w:val="center"/>
    </w:pPr>
    <w:rPr>
      <w:i/>
      <w:iCs/>
      <w:color w:val="404040" w:themeColor="text1" w:themeTint="BF"/>
    </w:rPr>
  </w:style>
  <w:style w:type="character" w:customStyle="1" w:styleId="QuoteChar">
    <w:name w:val="Quote Char"/>
    <w:basedOn w:val="DefaultParagraphFont"/>
    <w:link w:val="Quote"/>
    <w:uiPriority w:val="29"/>
    <w:rsid w:val="00351414"/>
    <w:rPr>
      <w:rFonts w:ascii="Times New Roman" w:hAnsi="Times New Roman"/>
      <w:i/>
      <w:iCs/>
      <w:color w:val="404040" w:themeColor="text1" w:themeTint="BF"/>
      <w:sz w:val="28"/>
    </w:rPr>
  </w:style>
  <w:style w:type="paragraph" w:styleId="ListParagraph">
    <w:name w:val="List Paragraph"/>
    <w:basedOn w:val="Normal"/>
    <w:uiPriority w:val="34"/>
    <w:qFormat/>
    <w:rsid w:val="00351414"/>
    <w:pPr>
      <w:ind w:left="720"/>
      <w:contextualSpacing/>
    </w:pPr>
  </w:style>
  <w:style w:type="character" w:styleId="IntenseEmphasis">
    <w:name w:val="Intense Emphasis"/>
    <w:basedOn w:val="DefaultParagraphFont"/>
    <w:uiPriority w:val="21"/>
    <w:qFormat/>
    <w:rsid w:val="00351414"/>
    <w:rPr>
      <w:i/>
      <w:iCs/>
      <w:color w:val="2E74B5" w:themeColor="accent1" w:themeShade="BF"/>
    </w:rPr>
  </w:style>
  <w:style w:type="paragraph" w:styleId="IntenseQuote">
    <w:name w:val="Intense Quote"/>
    <w:basedOn w:val="Normal"/>
    <w:next w:val="Normal"/>
    <w:link w:val="IntenseQuoteChar"/>
    <w:uiPriority w:val="30"/>
    <w:qFormat/>
    <w:rsid w:val="0035141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51414"/>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5141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2025-08-17T12:06:00Z</dcterms:created>
  <dcterms:modified xsi:type="dcterms:W3CDTF">2025-08-17T12:06:00Z</dcterms:modified>
</cp:coreProperties>
</file>