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Times New Roman" w:cs="Times New Roman" w:eastAsia="Times New Roman" w:hAnsi="Times New Roman"/>
          <w:sz w:val="48"/>
          <w:szCs w:val="48"/>
        </w:rPr>
        <w:t xml:space="preserve">LogShield: In-Pod Secret Sanitization and Autonomous Closed-Loop Containment for Kubernetes Log Streams</w:t>
      </w:r>
    </w:p>
    <w:tbl>
      <w:tblPr>
        <w:tblW w:type="dxa" w:w="10440"/>
        <w:jc w:val="center"/>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Author"/>
              <w:jc w:val="center"/>
            </w:pPr>
            <w:r>
              <w:rPr>
                <w:rFonts w:ascii="Times New Roman" w:cs="Times New Roman" w:eastAsia="Times New Roman" w:hAnsi="Times New Roman"/>
                <w:b w:val="false"/>
                <w:bCs w:val="false"/>
                <w:i w:val="false"/>
                <w:iCs w:val="false"/>
                <w:sz w:val="22"/>
                <w:szCs w:val="22"/>
              </w:rPr>
              <w:t xml:space="preserve">Rounak Neema</w:t>
            </w:r>
          </w:p>
          <w:p>
            <w:pPr>
              <w:pStyle w:val="Author"/>
              <w:jc w:val="center"/>
            </w:pPr>
            <w:r>
              <w:rPr>
                <w:rFonts w:ascii="Times New Roman" w:cs="Times New Roman" w:eastAsia="Times New Roman" w:hAnsi="Times New Roman"/>
                <w:b w:val="false"/>
                <w:bCs w:val="false"/>
                <w:i/>
                <w:iCs/>
                <w:sz w:val="20"/>
                <w:szCs w:val="20"/>
              </w:rPr>
              <w:t xml:space="preserve">Department of Computer Engineering</w:t>
            </w:r>
          </w:p>
          <w:p>
            <w:pPr>
              <w:pStyle w:val="Author"/>
              <w:jc w:val="center"/>
            </w:pPr>
            <w:r>
              <w:rPr>
                <w:rFonts w:ascii="Times New Roman" w:cs="Times New Roman" w:eastAsia="Times New Roman" w:hAnsi="Times New Roman"/>
                <w:b w:val="false"/>
                <w:bCs w:val="false"/>
                <w:i/>
                <w:iCs/>
                <w:sz w:val="20"/>
                <w:szCs w:val="20"/>
              </w:rPr>
              <w:t xml:space="preserve">Mukesh Patel School of Technology Management &amp; Engineering</w:t>
            </w:r>
          </w:p>
          <w:p>
            <w:pPr>
              <w:pStyle w:val="Author"/>
              <w:jc w:val="center"/>
            </w:pPr>
            <w:r>
              <w:rPr>
                <w:rFonts w:ascii="Times New Roman" w:cs="Times New Roman" w:eastAsia="Times New Roman" w:hAnsi="Times New Roman"/>
                <w:b w:val="false"/>
                <w:bCs w:val="false"/>
                <w:i w:val="false"/>
                <w:iCs w:val="false"/>
                <w:sz w:val="20"/>
                <w:szCs w:val="20"/>
              </w:rPr>
              <w:t xml:space="preserve">NMIMS University</w:t>
            </w:r>
          </w:p>
          <w:p>
            <w:pPr>
              <w:pStyle w:val="Author"/>
              <w:jc w:val="center"/>
            </w:pPr>
            <w:r>
              <w:rPr>
                <w:rFonts w:ascii="Times New Roman" w:cs="Times New Roman" w:eastAsia="Times New Roman" w:hAnsi="Times New Roman"/>
                <w:b w:val="false"/>
                <w:bCs w:val="false"/>
                <w:i w:val="false"/>
                <w:iCs w:val="false"/>
                <w:sz w:val="20"/>
                <w:szCs w:val="20"/>
              </w:rPr>
              <w:t xml:space="preserve">Mumbai, India</w:t>
            </w:r>
          </w:p>
          <w:p>
            <w:pPr>
              <w:pStyle w:val="Author"/>
              <w:jc w:val="center"/>
            </w:pPr>
            <w:r>
              <w:rPr>
                <w:rFonts w:ascii="Times New Roman" w:cs="Times New Roman" w:eastAsia="Times New Roman" w:hAnsi="Times New Roman"/>
                <w:b w:val="false"/>
                <w:bCs w:val="false"/>
                <w:i w:val="false"/>
                <w:iCs w:val="false"/>
                <w:sz w:val="20"/>
                <w:szCs w:val="20"/>
              </w:rPr>
              <w:t xml:space="preserve">rounak.neema@nmims.edu</w:t>
            </w:r>
          </w:p>
        </w:tc>
        <w:tc>
          <w:tcPr>
            <w:tcW w:type="dxa" w:w="5220"/>
            <w:tcBorders>
              <w:top w:val="none" w:color="FFFFFF" w:sz="0"/>
              <w:left w:val="none" w:color="FFFFFF" w:sz="0"/>
              <w:bottom w:val="none" w:color="FFFFFF" w:sz="0"/>
              <w:right w:val="none" w:color="FFFFFF" w:sz="0"/>
            </w:tcBorders>
            <w:tcMar>
              <w:top w:type="dxa" w:w="0"/>
              <w:left w:type="dxa" w:w="100"/>
              <w:bottom w:type="dxa" w:w="0"/>
              <w:right w:type="dxa" w:w="100"/>
            </w:tcMar>
          </w:tcPr>
          <w:p>
            <w:pPr>
              <w:pStyle w:val="Author"/>
              <w:jc w:val="center"/>
            </w:pPr>
            <w:r>
              <w:rPr>
                <w:rFonts w:ascii="Times New Roman" w:cs="Times New Roman" w:eastAsia="Times New Roman" w:hAnsi="Times New Roman"/>
                <w:b w:val="false"/>
                <w:bCs w:val="false"/>
                <w:i w:val="false"/>
                <w:iCs w:val="false"/>
                <w:sz w:val="22"/>
                <w:szCs w:val="22"/>
              </w:rPr>
              <w:t xml:space="preserve">Capstone Research Group</w:t>
            </w:r>
          </w:p>
          <w:p>
            <w:pPr>
              <w:pStyle w:val="Author"/>
              <w:jc w:val="center"/>
            </w:pPr>
            <w:r>
              <w:rPr>
                <w:rFonts w:ascii="Times New Roman" w:cs="Times New Roman" w:eastAsia="Times New Roman" w:hAnsi="Times New Roman"/>
                <w:b w:val="false"/>
                <w:bCs w:val="false"/>
                <w:i/>
                <w:iCs/>
                <w:sz w:val="20"/>
                <w:szCs w:val="20"/>
              </w:rPr>
              <w:t xml:space="preserve">Cloud-Native Security Laboratory Project</w:t>
            </w:r>
          </w:p>
          <w:p>
            <w:pPr>
              <w:pStyle w:val="Author"/>
              <w:jc w:val="center"/>
            </w:pPr>
            <w:r>
              <w:rPr>
                <w:rFonts w:ascii="Times New Roman" w:cs="Times New Roman" w:eastAsia="Times New Roman" w:hAnsi="Times New Roman"/>
                <w:b w:val="false"/>
                <w:bCs w:val="false"/>
                <w:i/>
                <w:iCs/>
                <w:sz w:val="20"/>
                <w:szCs w:val="20"/>
              </w:rPr>
              <w:t xml:space="preserve">LogShield Initiative</w:t>
            </w:r>
          </w:p>
          <w:p>
            <w:pPr>
              <w:pStyle w:val="Author"/>
              <w:jc w:val="center"/>
            </w:pPr>
            <w:r>
              <w:rPr>
                <w:rFonts w:ascii="Times New Roman" w:cs="Times New Roman" w:eastAsia="Times New Roman" w:hAnsi="Times New Roman"/>
                <w:b w:val="false"/>
                <w:bCs w:val="false"/>
                <w:i w:val="false"/>
                <w:iCs w:val="false"/>
                <w:sz w:val="20"/>
                <w:szCs w:val="20"/>
              </w:rPr>
              <w:t xml:space="preserve">Mumbai, India</w:t>
            </w:r>
          </w:p>
          <w:p>
            <w:pPr>
              <w:pStyle w:val="Author"/>
              <w:jc w:val="center"/>
            </w:pPr>
            <w:r>
              <w:rPr>
                <w:rFonts w:ascii="Times New Roman" w:cs="Times New Roman" w:eastAsia="Times New Roman" w:hAnsi="Times New Roman"/>
                <w:b w:val="false"/>
                <w:bCs w:val="false"/>
                <w:i w:val="false"/>
                <w:iCs w:val="false"/>
                <w:sz w:val="20"/>
                <w:szCs w:val="20"/>
              </w:rPr>
              <w:t xml:space="preserve">research@logshield.internal</w:t>
            </w:r>
          </w:p>
        </w:tc>
      </w:tr>
    </w:tbl>
    <w:p>
      <w:pPr>
        <w:pStyle w:val="Author"/>
        <w:spacing w:after="120"/>
      </w:pPr>
    </w:p>
    <w:p>
      <w:pPr>
        <w:sectPr>
          <w:pgSz w:w="12240" w:h="15840" w:orient="portrait"/>
          <w:pgMar w:top="1080" w:right="900" w:bottom="1440" w:left="900" w:header="500" w:footer="700" w:gutter="0"/>
          <w:pgNumType/>
          <w:docGrid w:linePitch="360"/>
        </w:sectPr>
      </w:pPr>
    </w:p>
    <w:p>
      <w:pPr>
        <w:pStyle w:val="Abstract"/>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Microservice architectures managed by Kubernetes clusters generate huge volumes of container telemetry. Under continuous delivery pressures, developers often emit confidential credentials into standard output streams, including database connection strings, cloud access keys, private keys, and OAuth headers (CWE-532). Static scanners cannot inspect dynamically assembled runtime strings, and existing defenses leave major gaps. Centralized cloud sanitizers require network egress of raw log lines, exposing organizations to transit interception and violating data privacy regulations such as GDPR and HIPAA, while passive log redactors mask text after the fact but leave compromised credentials active in production environments until manual triage occurs hours or days later. To tackle these vulnerabilities, we present LogShield, a Kubernetes sidecar framework for real-time secret sanitization, keyed privacy-preserving lineage tracking, and autonomous closed-loop containment within the pod boundary. Masked credentials are encrypted locally in the SecureReveal Vault using Fernet authenticated encryption (AES-128-CBC with HMAC-SHA256), paired with a tamper-evident SHA-256 hash-chained audit ledger with remote SIEM anchoring. LogShield combines an </w:t>
      </w:r>
      <w:r>
        <w:rPr>
          <w:rFonts w:ascii="Times New Roman" w:cs="Times New Roman" w:eastAsia="Times New Roman" w:hAnsi="Times New Roman"/>
          <w:b/>
          <w:bCs/>
          <w:i/>
          <w:iCs/>
          <w:sz w:val="18"/>
          <w:szCs w:val="18"/>
        </w:rPr>
        <w:t xml:space="preserve">O</w:t>
      </w:r>
      <w:r>
        <w:rPr>
          <w:rFonts w:ascii="Times New Roman" w:cs="Times New Roman" w:eastAsia="Times New Roman" w:hAnsi="Times New Roman"/>
          <w:b/>
          <w:bCs/>
          <w:i w:val="false"/>
          <w:iCs w:val="false"/>
          <w:sz w:val="18"/>
          <w:szCs w:val="18"/>
        </w:rPr>
        <w:t xml:space="preserve">(</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i w:val="false"/>
          <w:iCs w:val="false"/>
          <w:sz w:val="18"/>
          <w:szCs w:val="18"/>
        </w:rPr>
        <w:t xml:space="preserve">) Aho-Corasick prefilter, an adaptive sliding-window token fusion engine that defeats delimiter-split and hex-escaped obfuscation, a 6-factor Secret Confidence Score (SCS) model, and a tri-state decision gate; when active leaks emerge, it appraises blast radius and enforces automated mitigation via dynamic Kubernetes V1NetworkPolicy egress isolation and cloud credential rotation webhooks. To track cross-service credential sprawl without sharing plaintext strings, LogShield applies canonical keyed blind HMAC-SHA256 fingerprinting to join multi-representation artifacts (raw, Base64, Hex, URL-encoded), supported by a scoped exemption engine for pre-registered credentials. LogShield is evaluated across four experimental corpora, an isolated Kubernetes control plane testbed, and an end-to-end 5-microservice cluster. In standard ablation testing (</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i w:val="false"/>
          <w:iCs w:val="false"/>
          <w:sz w:val="18"/>
          <w:szCs w:val="18"/>
        </w:rPr>
        <w:t xml:space="preserve"> = 9,205), LogShield achieves an F1-score of 0.9997 (precision 1.0000, recall 0.9993) with zero false positives on benign controls (FPR ≤ 0.063%). On a balanced 2,400-sample adversarial evasion benchmark, Token Fusion raises detection recall from 32.20% to 91.30%, lowering evasion bypasses from 67.80% to 8.70% (a 59.1 percentage-point reduction) while producing no false positives on benign high-entropy system tokens. In separate statistical validation on 20,000 held-out entries, the ML-trained normalized model detects 228 additional secrets over domain-expert heuristic weights (</w:t>
      </w:r>
      <w:r>
        <w:rPr>
          <w:rFonts w:ascii="Times New Roman" w:cs="Times New Roman" w:eastAsia="Times New Roman" w:hAnsi="Times New Roman"/>
          <w:b/>
          <w:bCs/>
          <w:i/>
          <w:iCs/>
          <w:sz w:val="18"/>
          <w:szCs w:val="18"/>
        </w:rPr>
        <w:t xml:space="preserve">χ</w:t>
      </w:r>
      <w:r>
        <w:rPr>
          <w:rFonts w:ascii="Times New Roman" w:cs="Times New Roman" w:eastAsia="Times New Roman" w:hAnsi="Times New Roman"/>
          <w:b/>
          <w:bCs/>
          <w:i w:val="false"/>
          <w:iCs w:val="false"/>
          <w:sz w:val="18"/>
          <w:szCs w:val="18"/>
          <w:vertAlign w:val="superscript"/>
        </w:rPr>
        <w:t xml:space="preserve">2</w:t>
      </w:r>
      <w:r>
        <w:rPr>
          <w:rFonts w:ascii="Times New Roman" w:cs="Times New Roman" w:eastAsia="Times New Roman" w:hAnsi="Times New Roman"/>
          <w:b/>
          <w:bCs/>
          <w:i w:val="false"/>
          <w:iCs w:val="false"/>
          <w:sz w:val="18"/>
          <w:szCs w:val="18"/>
        </w:rPr>
        <w:t xml:space="preserve"> = 226.00, </w:t>
      </w:r>
      <w:r>
        <w:rPr>
          <w:rFonts w:ascii="Times New Roman" w:cs="Times New Roman" w:eastAsia="Times New Roman" w:hAnsi="Times New Roman"/>
          <w:b/>
          <w:bCs/>
          <w:i/>
          <w:iCs/>
          <w:sz w:val="18"/>
          <w:szCs w:val="18"/>
        </w:rPr>
        <w:t xml:space="preserve">p</w:t>
      </w:r>
      <w:r>
        <w:rPr>
          <w:rFonts w:ascii="Times New Roman" w:cs="Times New Roman" w:eastAsia="Times New Roman" w:hAnsi="Times New Roman"/>
          <w:b/>
          <w:bCs/>
          <w:i w:val="false"/>
          <w:iCs w:val="false"/>
          <w:sz w:val="18"/>
          <w:szCs w:val="18"/>
        </w:rPr>
        <w:t xml:space="preserve"> = 4.43 × 10</w:t>
      </w:r>
      <w:r>
        <w:rPr>
          <w:rFonts w:ascii="Times New Roman" w:cs="Times New Roman" w:eastAsia="Times New Roman" w:hAnsi="Times New Roman"/>
          <w:b/>
          <w:bCs/>
          <w:i w:val="false"/>
          <w:iCs w:val="false"/>
          <w:sz w:val="18"/>
          <w:szCs w:val="18"/>
          <w:vertAlign w:val="superscript"/>
        </w:rPr>
        <w:t xml:space="preserve">−51</w:t>
      </w:r>
      <w:r>
        <w:rPr>
          <w:rFonts w:ascii="Times New Roman" w:cs="Times New Roman" w:eastAsia="Times New Roman" w:hAnsi="Times New Roman"/>
          <w:b/>
          <w:bCs/>
          <w:i w:val="false"/>
          <w:iCs w:val="false"/>
          <w:sz w:val="18"/>
          <w:szCs w:val="18"/>
        </w:rPr>
        <w:t xml:space="preserve">) at a strictly zero false-positive threshold (</w:t>
      </w:r>
      <w:r>
        <w:rPr>
          <w:rFonts w:ascii="Times New Roman" w:cs="Times New Roman" w:eastAsia="Times New Roman" w:hAnsi="Times New Roman"/>
          <w:b/>
          <w:bCs/>
          <w:i/>
          <w:iCs/>
          <w:sz w:val="18"/>
          <w:szCs w:val="18"/>
        </w:rPr>
        <w:t xml:space="preserve">T</w:t>
      </w:r>
      <w:r>
        <w:rPr>
          <w:rFonts w:ascii="Times New Roman" w:cs="Times New Roman" w:eastAsia="Times New Roman" w:hAnsi="Times New Roman"/>
          <w:b/>
          <w:bCs/>
          <w:i w:val="false"/>
          <w:iCs w:val="false"/>
          <w:sz w:val="18"/>
          <w:szCs w:val="18"/>
        </w:rPr>
        <w:t xml:space="preserve"> = 80). LogShield achieves automated workload egress quarantine with 16.7–26.7 ms policy dispatch latency and validated zero collateral disruption on non-leaking workloads in live Kubernetes testing.</w:t>
      </w:r>
    </w:p>
    <w:p>
      <w:pPr>
        <w:pStyle w:val="Abstract"/>
        <w:spacing w:after="80" w:before="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Cloud-native security, Kubernetes sidecar, log sanitization, secret detection, CWE-532, Shannon entropy, Aho-Corasick automaton, NetworkPolicy quarantine, secret lineage.</w:t>
      </w:r>
    </w:p>
    <w:p>
      <w:pPr>
        <w:pStyle w:val="Caption"/>
        <w:pBdr>
          <w:top w:val="single" w:color="000000" w:sz="4" w:space="4"/>
        </w:pBdr>
        <w:spacing w:after="120" w:before="60"/>
        <w:jc w:val="both"/>
      </w:pPr>
      <w:r>
        <w:rPr>
          <w:rFonts w:ascii="Times New Roman" w:cs="Times New Roman" w:eastAsia="Times New Roman" w:hAnsi="Times New Roman"/>
          <w:b w:val="false"/>
          <w:bCs w:val="false"/>
          <w:i w:val="false"/>
          <w:iCs w:val="false"/>
          <w:sz w:val="16"/>
          <w:szCs w:val="16"/>
        </w:rPr>
        <w:t xml:space="preserve">This study was conducted as part of the Capstone Project in Computer Engineering, concentrating on Cloud-Native Security and Information Assurance.</w:t>
      </w:r>
    </w:p>
    <w:p>
      <w:pPr>
        <w:pStyle w:val="Heading1"/>
        <w:pStyle w:val="Heading1"/>
      </w:pPr>
      <w:r>
        <w:rPr>
          <w:rFonts w:ascii="Times New Roman" w:cs="Times New Roman" w:eastAsia="Times New Roman" w:hAnsi="Times New Roman"/>
          <w:smallCaps/>
          <w:sz w:val="20"/>
          <w:szCs w:val="20"/>
        </w:rPr>
        <w:t xml:space="preserve">I. </w:t>
      </w:r>
      <w:r>
        <w:rPr>
          <w:rFonts w:ascii="Times New Roman" w:cs="Times New Roman" w:eastAsia="Times New Roman" w:hAnsi="Times New Roman"/>
          <w:smallCaps/>
          <w:sz w:val="20"/>
          <w:szCs w:val="20"/>
        </w:rPr>
        <w:t xml:space="preserve">Introduction</w:t>
      </w:r>
    </w:p>
    <w:p>
      <w:pPr>
        <w:pStyle w:val="Body"/>
        <w:jc w:val="both"/>
      </w:pPr>
      <w:r>
        <w:rPr>
          <w:rFonts w:ascii="Times New Roman" w:cs="Times New Roman" w:eastAsia="Times New Roman" w:hAnsi="Times New Roman"/>
          <w:b w:val="false"/>
          <w:bCs w:val="false"/>
          <w:i w:val="false"/>
          <w:iCs w:val="false"/>
          <w:sz w:val="20"/>
          <w:szCs w:val="20"/>
        </w:rPr>
        <w:t xml:space="preserve">Containerized microservices managed by Kubernetes form the primary foundation for cloud-native software systems [1]; within these clusters, application logging offers the central source of telemetry for operational observability, distributed debugging, and security monitoring [2], [3]. Large-scale cloud deployments routinely create terabytes of unstructured application output each day [4].</w:t>
      </w:r>
    </w:p>
    <w:p>
      <w:pPr>
        <w:pStyle w:val="Body"/>
        <w:jc w:val="both"/>
      </w:pPr>
      <w:r>
        <w:rPr>
          <w:rFonts w:ascii="Times New Roman" w:cs="Times New Roman" w:eastAsia="Times New Roman" w:hAnsi="Times New Roman"/>
          <w:b w:val="false"/>
          <w:bCs w:val="false"/>
          <w:i w:val="false"/>
          <w:iCs w:val="false"/>
          <w:sz w:val="20"/>
          <w:szCs w:val="20"/>
        </w:rPr>
        <w:t xml:space="preserve">High logging volumes create persistent security risks. Under rapid deployment schedules and complex runtime debugging requirements, developers regularly emit data structures containing raw credentials [5], [6]. Prevalent examples include logging complete HTTP headers, dumping environment variables during exceptions, and printing database URIs during connection timeouts:</w:t>
      </w:r>
    </w:p>
    <w:tbl>
      <w:tblPr>
        <w:tblW w:type="dxa" w:w="5040"/>
        <w:tblBorders>
          <w:top w:val="single" w:color="000000" w:sz="4"/>
          <w:left w:val="single" w:color="000000" w:sz="4"/>
          <w:bottom w:val="single" w:color="000000" w:sz="4"/>
          <w:right w:val="single" w:color="000000" w:sz="4"/>
          <w:insideH w:val="none" w:color="FFFFFF" w:sz="0"/>
          <w:insideV w:val="none" w:color="FFFFFF" w:sz="0"/>
        </w:tblBorders>
      </w:tblPr>
      <w:tblGrid>
        <w:gridCol w:w="5040"/>
      </w:tblGrid>
      <w:tr>
        <w:trPr>
          <w:cantSplit/>
        </w:trPr>
        <w:tc>
          <w:tcPr>
            <w:tcW w:type="dxa" w:w="5040"/>
            <w:shd w:fill="F2F2F2" w:color="auto" w:val="clear"/>
            <w:tcMar>
              <w:top w:type="dxa" w:w="40"/>
              <w:left w:type="dxa" w:w="80"/>
              <w:bottom w:type="dxa" w:w="40"/>
              <w:right w:type="dxa" w:w="80"/>
            </w:tcMar>
          </w:tcPr>
          <w:p>
            <w:pPr>
              <w:pStyle w:val="Code"/>
            </w:pPr>
            <w:r>
              <w:rPr>
                <w:rFonts w:ascii="Courier New" w:cs="Courier New" w:eastAsia="Courier New" w:hAnsi="Courier New"/>
                <w:sz w:val="15"/>
                <w:szCs w:val="15"/>
              </w:rPr>
              <w:t xml:space="preserve">logger.debug(f"DB URI: {DATABASE_URL}")</w:t>
            </w:r>
          </w:p>
          <w:p>
            <w:pPr>
              <w:pStyle w:val="Code"/>
            </w:pPr>
            <w:r>
              <w:rPr>
                <w:rFonts w:ascii="Courier New" w:cs="Courier New" w:eastAsia="Courier New" w:hAnsi="Courier New"/>
                <w:sz w:val="15"/>
                <w:szCs w:val="15"/>
              </w:rPr>
              <w:t xml:space="preserve"># postgres://admin:MyP@ssw0rd@prod-db:5432/app</w:t>
            </w:r>
          </w:p>
          <w:p>
            <w:pPr>
              <w:pStyle w:val="Code"/>
            </w:pPr>
            <w:r>
              <w:rPr>
                <w:rFonts w:ascii="Courier New" w:cs="Courier New" w:eastAsia="Courier New" w:hAnsi="Courier New"/>
                <w:sz w:val="15"/>
                <w:szCs w:val="15"/>
              </w:rPr>
              <w:t xml:space="preserve">logger.error(f"Auth error: {headers['Authorization']}")</w:t>
            </w:r>
          </w:p>
          <w:p>
            <w:pPr>
              <w:pStyle w:val="Code"/>
            </w:pPr>
            <w:r>
              <w:rPr>
                <w:rFonts w:ascii="Courier New" w:cs="Courier New" w:eastAsia="Courier New" w:hAnsi="Courier New"/>
                <w:sz w:val="15"/>
                <w:szCs w:val="15"/>
              </w:rPr>
              <w:t xml:space="preserve"># Bearer eyJhbGciOiJIUzI1NiIsInR5cCI6IkpXVCJ9...</w:t>
            </w:r>
          </w:p>
          <w:p>
            <w:pPr>
              <w:pStyle w:val="Code"/>
            </w:pPr>
            <w:r>
              <w:rPr>
                <w:rFonts w:ascii="Courier New" w:cs="Courier New" w:eastAsia="Courier New" w:hAnsi="Courier New"/>
                <w:sz w:val="15"/>
                <w:szCs w:val="15"/>
              </w:rPr>
              <w:t xml:space="preserve">logger.info(f"Payment token: {STRIPE_SECRET_KEY}")</w:t>
            </w:r>
          </w:p>
          <w:p>
            <w:pPr>
              <w:pStyle w:val="Code"/>
            </w:pPr>
            <w:r>
              <w:rPr>
                <w:rFonts w:ascii="Courier New" w:cs="Courier New" w:eastAsia="Courier New" w:hAnsi="Courier New"/>
                <w:sz w:val="15"/>
                <w:szCs w:val="15"/>
              </w:rPr>
              <w:t xml:space="preserve"># sk_live_51H7x8...</w:t>
            </w:r>
          </w:p>
          <w:p>
            <w:pPr>
              <w:pStyle w:val="Code"/>
            </w:pPr>
            <w:r>
              <w:rPr>
                <w:rFonts w:ascii="Courier New" w:cs="Courier New" w:eastAsia="Courier New" w:hAnsi="Courier New"/>
                <w:sz w:val="15"/>
                <w:szCs w:val="15"/>
              </w:rPr>
              <w:t xml:space="preserve">logger.debug(f"Environment: {os.environ}")</w:t>
            </w:r>
          </w:p>
          <w:p>
            <w:pPr>
              <w:pStyle w:val="Code"/>
            </w:pPr>
            <w:r>
              <w:rPr>
                <w:rFonts w:ascii="Courier New" w:cs="Courier New" w:eastAsia="Courier New" w:hAnsi="Courier New"/>
                <w:sz w:val="15"/>
                <w:szCs w:val="15"/>
              </w:rPr>
              <w:t xml:space="preserve"># AWS_SECRET_ACCESS_KEY=AKIAIOSFODNN7EXAMPLE...</w:t>
            </w:r>
          </w:p>
        </w:tc>
      </w:tr>
    </w:tbl>
    <w:p>
      <w:pPr>
        <w:pStyle w:val="Caption"/>
        <w:spacing w:after="80" w:before="0"/>
      </w:pPr>
    </w:p>
    <w:p>
      <w:pPr>
        <w:pStyle w:val="Body"/>
        <w:jc w:val="both"/>
      </w:pPr>
      <w:r>
        <w:rPr>
          <w:rFonts w:ascii="Times New Roman" w:cs="Times New Roman" w:eastAsia="Times New Roman" w:hAnsi="Times New Roman"/>
          <w:b w:val="false"/>
          <w:bCs w:val="false"/>
          <w:i w:val="false"/>
          <w:iCs w:val="false"/>
          <w:sz w:val="20"/>
          <w:szCs w:val="20"/>
        </w:rPr>
        <w:t xml:space="preserve">When emitted to standard output (stdout), these strings pass directly to node-level forwarding daemons (such as Fluent Bit or Vector) and travel across network perimeters to centralized log platforms (such as Elasticsearch, Grafana Loki, or Datadog) [7]. Once indexed, credentials are stored in plain text, accessible to anyone with log read permissions [8]. This vulnerability corresponds to </w:t>
      </w:r>
      <w:r>
        <w:rPr>
          <w:rFonts w:ascii="Times New Roman" w:cs="Times New Roman" w:eastAsia="Times New Roman" w:hAnsi="Times New Roman"/>
          <w:b/>
          <w:bCs/>
          <w:i w:val="false"/>
          <w:iCs w:val="false"/>
          <w:sz w:val="20"/>
          <w:szCs w:val="20"/>
        </w:rPr>
        <w:t xml:space="preserve">CWE-532</w:t>
      </w:r>
      <w:r>
        <w:rPr>
          <w:rFonts w:ascii="Times New Roman" w:cs="Times New Roman" w:eastAsia="Times New Roman" w:hAnsi="Times New Roman"/>
          <w:b w:val="false"/>
          <w:bCs w:val="false"/>
          <w:i w:val="false"/>
          <w:iCs w:val="false"/>
          <w:sz w:val="20"/>
          <w:szCs w:val="20"/>
        </w:rPr>
        <w:t xml:space="preserve"> (Insertion of Sensitive Information into Log File) [9] and </w:t>
      </w:r>
      <w:r>
        <w:rPr>
          <w:rFonts w:ascii="Times New Roman" w:cs="Times New Roman" w:eastAsia="Times New Roman" w:hAnsi="Times New Roman"/>
          <w:b/>
          <w:bCs/>
          <w:i w:val="false"/>
          <w:iCs w:val="false"/>
          <w:sz w:val="20"/>
          <w:szCs w:val="20"/>
        </w:rPr>
        <w:t xml:space="preserve">CWE-798</w:t>
      </w:r>
      <w:r>
        <w:rPr>
          <w:rFonts w:ascii="Times New Roman" w:cs="Times New Roman" w:eastAsia="Times New Roman" w:hAnsi="Times New Roman"/>
          <w:b w:val="false"/>
          <w:bCs w:val="false"/>
          <w:i w:val="false"/>
          <w:iCs w:val="false"/>
          <w:sz w:val="20"/>
          <w:szCs w:val="20"/>
        </w:rPr>
        <w:t xml:space="preserve"> (Use of Hard-coded Credentials) [10].</w:t>
      </w:r>
    </w:p>
    <w:p>
      <w:pPr>
        <w:keepNext/>
        <w:spacing w:after="40" w:before="100"/>
        <w:jc w:val="center"/>
      </w:pPr>
      <w:r>
        <w:drawing>
          <wp:inline distT="0" distB="0" distL="0" distR="0">
            <wp:extent cx="3105150" cy="1543050"/>
            <wp:effectExtent t="0" r="0" b="0" l="0"/>
            <wp:docPr id="1" name="Fig1" descr="LogShield in-pod deployment. Co-located within the Kubernetes pod, the sidecar intercepts raw logs over a shared memory-backed emptyDir (tmpfs), detects secrets with adaptive token fusion, isolates them in an encrypted vault, enforces autonomous egress quarantine, and emits sanitized logs to container stdou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1543050"/>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1. LogShield in-pod deployment. Co-located within the Kubernetes pod, the sidecar intercepts raw logs over a shared memory-backed </w:t>
      </w:r>
      <w:r>
        <w:rPr>
          <w:rFonts w:ascii="Courier New" w:cs="Courier New" w:eastAsia="Courier New" w:hAnsi="Courier New"/>
          <w:b w:val="false"/>
          <w:bCs w:val="false"/>
          <w:i w:val="false"/>
          <w:iCs w:val="false"/>
          <w:sz w:val="14"/>
          <w:szCs w:val="14"/>
        </w:rPr>
        <w:t xml:space="preserve">emptyDir</w:t>
      </w:r>
      <w:r>
        <w:rPr>
          <w:rFonts w:ascii="Times New Roman" w:cs="Times New Roman" w:eastAsia="Times New Roman" w:hAnsi="Times New Roman"/>
          <w:b w:val="false"/>
          <w:bCs w:val="false"/>
          <w:i w:val="false"/>
          <w:iCs w:val="false"/>
          <w:sz w:val="16"/>
          <w:szCs w:val="16"/>
        </w:rPr>
        <w:t xml:space="preserve"> (tmpfs), detects secrets with adaptive token fusion, isolates them in an encrypted vault, enforces autonomous egress quarantine, and emits sanitized logs to container stdout.</w:t>
      </w:r>
    </w:p>
    <w:p>
      <w:pPr>
        <w:pStyle w:val="Body"/>
        <w:jc w:val="both"/>
      </w:pPr>
      <w:r>
        <w:rPr>
          <w:rFonts w:ascii="Times New Roman" w:cs="Times New Roman" w:eastAsia="Times New Roman" w:hAnsi="Times New Roman"/>
          <w:b w:val="false"/>
          <w:bCs w:val="false"/>
          <w:i w:val="false"/>
          <w:iCs w:val="false"/>
          <w:sz w:val="20"/>
          <w:szCs w:val="20"/>
        </w:rPr>
        <w:t xml:space="preserve">Zhi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analyzed 413 real-world vulnerabilities reported in the National Vulnerability Database (NVD) under CWE-532 and found that 67.8% were exploitable across network perimeters, with 89.3% requiring low attacker effort. In 2022 alone, GitGuardian detected over 10 million leaked credentials in public repositories, a 67% increase year-over-year [11].</w:t>
      </w:r>
    </w:p>
    <w:p>
      <w:pPr>
        <w:pStyle w:val="Heading2"/>
        <w:pStyle w:val="Heading2"/>
      </w:pPr>
      <w:r>
        <w:rPr>
          <w:rFonts w:ascii="Times New Roman" w:cs="Times New Roman" w:eastAsia="Times New Roman" w:hAnsi="Times New Roman"/>
          <w:b w:val="false"/>
          <w:bCs w:val="false"/>
          <w:i/>
          <w:iCs/>
          <w:sz w:val="20"/>
          <w:szCs w:val="20"/>
        </w:rPr>
        <w:t xml:space="preserve">A. Shortcomings of Current Countermeasures</w:t>
      </w:r>
    </w:p>
    <w:p>
      <w:pPr>
        <w:pStyle w:val="Body"/>
        <w:ind w:firstLine="0"/>
        <w:jc w:val="both"/>
      </w:pPr>
      <w:r>
        <w:rPr>
          <w:rFonts w:ascii="Times New Roman" w:cs="Times New Roman" w:eastAsia="Times New Roman" w:hAnsi="Times New Roman"/>
          <w:b w:val="false"/>
          <w:bCs w:val="false"/>
          <w:i w:val="false"/>
          <w:iCs w:val="false"/>
          <w:sz w:val="20"/>
          <w:szCs w:val="20"/>
        </w:rPr>
        <w:t xml:space="preserve">Existing security controls fail to confront runtime container log streams because of architectural drawbacks:</w:t>
      </w:r>
    </w:p>
    <w:p>
      <w:pPr>
        <w:pStyle w:val="ListItem"/>
        <w:numPr>
          <w:ilvl w:val="0"/>
          <w:numId w:val="2"/>
        </w:numPr>
        <w:jc w:val="both"/>
      </w:pPr>
      <w:r>
        <w:rPr>
          <w:rFonts w:ascii="Times New Roman" w:cs="Times New Roman" w:eastAsia="Times New Roman" w:hAnsi="Times New Roman"/>
          <w:b w:val="false"/>
          <w:bCs w:val="false"/>
          <w:i/>
          <w:iCs/>
          <w:sz w:val="20"/>
          <w:szCs w:val="20"/>
        </w:rPr>
        <w:t xml:space="preserve">Static Code Scanners:</w:t>
      </w:r>
      <w:r>
        <w:rPr>
          <w:rFonts w:ascii="Times New Roman" w:cs="Times New Roman" w:eastAsia="Times New Roman" w:hAnsi="Times New Roman"/>
          <w:b w:val="false"/>
          <w:bCs w:val="false"/>
          <w:i w:val="false"/>
          <w:iCs w:val="false"/>
          <w:sz w:val="20"/>
          <w:szCs w:val="20"/>
        </w:rPr>
        <w:t xml:space="preserve"> Tools such as Gitleaks [12], TruffleHog [13], and detect-secrets [14] assess static source files and commit histories; they cannot inspect dynamic runtime strings produced during database transactions, runtime token grants, or third-party API calls.</w:t>
      </w:r>
    </w:p>
    <w:p>
      <w:pPr>
        <w:pStyle w:val="ListItem"/>
        <w:numPr>
          <w:ilvl w:val="0"/>
          <w:numId w:val="2"/>
        </w:numPr>
        <w:jc w:val="both"/>
      </w:pPr>
      <w:r>
        <w:rPr>
          <w:rFonts w:ascii="Times New Roman" w:cs="Times New Roman" w:eastAsia="Times New Roman" w:hAnsi="Times New Roman"/>
          <w:b w:val="false"/>
          <w:bCs w:val="false"/>
          <w:i/>
          <w:iCs/>
          <w:sz w:val="20"/>
          <w:szCs w:val="20"/>
        </w:rPr>
        <w:t xml:space="preserve">Secrets Managers:</w:t>
      </w:r>
      <w:r>
        <w:rPr>
          <w:rFonts w:ascii="Times New Roman" w:cs="Times New Roman" w:eastAsia="Times New Roman" w:hAnsi="Times New Roman"/>
          <w:b w:val="false"/>
          <w:bCs w:val="false"/>
          <w:i w:val="false"/>
          <w:iCs w:val="false"/>
          <w:sz w:val="20"/>
          <w:szCs w:val="20"/>
        </w:rPr>
        <w:t xml:space="preserve"> Platforms such as HashiCorp Vault or AWS Secrets Manager inject credentials securely into container memory. However, they do not monitor whether an application later prints those credentials into log streams.</w:t>
      </w:r>
    </w:p>
    <w:p>
      <w:pPr>
        <w:pStyle w:val="ListItem"/>
        <w:numPr>
          <w:ilvl w:val="0"/>
          <w:numId w:val="2"/>
        </w:numPr>
        <w:jc w:val="both"/>
      </w:pPr>
      <w:r>
        <w:rPr>
          <w:rFonts w:ascii="Times New Roman" w:cs="Times New Roman" w:eastAsia="Times New Roman" w:hAnsi="Times New Roman"/>
          <w:b w:val="false"/>
          <w:bCs w:val="false"/>
          <w:i/>
          <w:iCs/>
          <w:sz w:val="20"/>
          <w:szCs w:val="20"/>
        </w:rPr>
        <w:t xml:space="preserve">Cloud-Side Log Sanitizers:</w:t>
      </w:r>
      <w:r>
        <w:rPr>
          <w:rFonts w:ascii="Times New Roman" w:cs="Times New Roman" w:eastAsia="Times New Roman" w:hAnsi="Times New Roman"/>
          <w:b w:val="false"/>
          <w:bCs w:val="false"/>
          <w:i w:val="false"/>
          <w:iCs w:val="false"/>
          <w:sz w:val="20"/>
          <w:szCs w:val="20"/>
        </w:rPr>
        <w:t xml:space="preserve"> Scanners such as Datadog Sensitive Data Scanner or Google Cloud DLP operate downstream in centralized storage; credentials must leave the container and cross the network before inspection occurs, introducing transit exposure and violating strict data residency requirements under GDPR Article 25 [15], HIPAA 45 CFR Part 164 [16], PCI-DSS v4.0 Requirement 8 [17], and NIST SP 800-53 controls SC-28 and AU-9 [18].</w:t>
      </w:r>
    </w:p>
    <w:p>
      <w:pPr>
        <w:pStyle w:val="ListItem"/>
        <w:numPr>
          <w:ilvl w:val="0"/>
          <w:numId w:val="2"/>
        </w:numPr>
        <w:jc w:val="both"/>
      </w:pPr>
      <w:r>
        <w:rPr>
          <w:rFonts w:ascii="Times New Roman" w:cs="Times New Roman" w:eastAsia="Times New Roman" w:hAnsi="Times New Roman"/>
          <w:b w:val="false"/>
          <w:bCs w:val="false"/>
          <w:i/>
          <w:iCs/>
          <w:sz w:val="20"/>
          <w:szCs w:val="20"/>
        </w:rPr>
        <w:t xml:space="preserve">Single-Factor Heuristic Scanners:</w:t>
      </w:r>
      <w:r>
        <w:rPr>
          <w:rFonts w:ascii="Times New Roman" w:cs="Times New Roman" w:eastAsia="Times New Roman" w:hAnsi="Times New Roman"/>
          <w:b w:val="false"/>
          <w:bCs w:val="false"/>
          <w:i w:val="false"/>
          <w:iCs w:val="false"/>
          <w:sz w:val="20"/>
          <w:szCs w:val="20"/>
        </w:rPr>
        <w:t xml:space="preserve"> Runtime filters relying on regular expressions or Shannon entropy alone create high false-positive rates (&gt;15%), mistaking benign UUIDv4 strings, MD5 ETags, and commit hashes for credentials [19].</w:t>
      </w:r>
    </w:p>
    <w:p>
      <w:pPr>
        <w:pStyle w:val="ListItem"/>
        <w:numPr>
          <w:ilvl w:val="0"/>
          <w:numId w:val="2"/>
        </w:numPr>
        <w:jc w:val="both"/>
      </w:pPr>
      <w:r>
        <w:rPr>
          <w:rFonts w:ascii="Times New Roman" w:cs="Times New Roman" w:eastAsia="Times New Roman" w:hAnsi="Times New Roman"/>
          <w:b w:val="false"/>
          <w:bCs w:val="false"/>
          <w:i/>
          <w:iCs/>
          <w:sz w:val="20"/>
          <w:szCs w:val="20"/>
        </w:rPr>
        <w:t xml:space="preserve">Passive Redaction Limitations:</w:t>
      </w:r>
      <w:r>
        <w:rPr>
          <w:rFonts w:ascii="Times New Roman" w:cs="Times New Roman" w:eastAsia="Times New Roman" w:hAnsi="Times New Roman"/>
          <w:b w:val="false"/>
          <w:bCs w:val="false"/>
          <w:i w:val="false"/>
          <w:iCs w:val="false"/>
          <w:sz w:val="20"/>
          <w:szCs w:val="20"/>
        </w:rPr>
        <w:t xml:space="preserve"> Standard redactors simply replace strings with mask tokens; they do not assess multi-service blast radius, link obfuscated representations, or reduce live credential compromise, leaving active credentials exposed until human security teams investigate hours or days later.</w:t>
      </w:r>
    </w:p>
    <w:p>
      <w:pPr>
        <w:pStyle w:val="Heading2"/>
        <w:pStyle w:val="Heading2"/>
      </w:pPr>
      <w:r>
        <w:rPr>
          <w:rFonts w:ascii="Times New Roman" w:cs="Times New Roman" w:eastAsia="Times New Roman" w:hAnsi="Times New Roman"/>
          <w:b w:val="false"/>
          <w:bCs w:val="false"/>
          <w:i/>
          <w:iCs/>
          <w:sz w:val="20"/>
          <w:szCs w:val="20"/>
        </w:rPr>
        <w:t xml:space="preserve">B. Contributions</w:t>
      </w:r>
    </w:p>
    <w:p>
      <w:pPr>
        <w:pStyle w:val="Body"/>
        <w:ind w:firstLine="0"/>
        <w:jc w:val="both"/>
      </w:pPr>
      <w:r>
        <w:rPr>
          <w:rFonts w:ascii="Times New Roman" w:cs="Times New Roman" w:eastAsia="Times New Roman" w:hAnsi="Times New Roman"/>
          <w:b w:val="false"/>
          <w:bCs w:val="false"/>
          <w:i w:val="false"/>
          <w:iCs w:val="false"/>
          <w:sz w:val="20"/>
          <w:szCs w:val="20"/>
        </w:rPr>
        <w:t xml:space="preserve">We design and implement </w:t>
      </w:r>
      <w:r>
        <w:rPr>
          <w:rFonts w:ascii="Times New Roman" w:cs="Times New Roman" w:eastAsia="Times New Roman" w:hAnsi="Times New Roman"/>
          <w:b/>
          <w:bCs/>
          <w:i w:val="false"/>
          <w:iCs w:val="false"/>
          <w:sz w:val="20"/>
          <w:szCs w:val="20"/>
        </w:rPr>
        <w:t xml:space="preserve">LogShield</w:t>
      </w:r>
      <w:r>
        <w:rPr>
          <w:rFonts w:ascii="Times New Roman" w:cs="Times New Roman" w:eastAsia="Times New Roman" w:hAnsi="Times New Roman"/>
          <w:b w:val="false"/>
          <w:bCs w:val="false"/>
          <w:i w:val="false"/>
          <w:iCs w:val="false"/>
          <w:sz w:val="20"/>
          <w:szCs w:val="20"/>
        </w:rPr>
        <w:t xml:space="preserve">, a Kubernetes sidecar framework that transforms runtime log sanitization from a passive string replacement filter into an active, attack-resistant security control. This article makes the following contributions:</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An in-pod interception model using memory-backed Kubernetes </w:t>
      </w:r>
      <w:r>
        <w:rPr>
          <w:rFonts w:ascii="Courier New" w:cs="Courier New" w:eastAsia="Courier New" w:hAnsi="Courier New"/>
          <w:b w:val="false"/>
          <w:bCs w:val="false"/>
          <w:i w:val="false"/>
          <w:iCs w:val="false"/>
          <w:sz w:val="18"/>
          <w:szCs w:val="18"/>
        </w:rPr>
        <w:t xml:space="preserve">emptyDir</w:t>
      </w:r>
      <w:r>
        <w:rPr>
          <w:rFonts w:ascii="Times New Roman" w:cs="Times New Roman" w:eastAsia="Times New Roman" w:hAnsi="Times New Roman"/>
          <w:b w:val="false"/>
          <w:bCs w:val="false"/>
          <w:i w:val="false"/>
          <w:iCs w:val="false"/>
          <w:sz w:val="20"/>
          <w:szCs w:val="20"/>
        </w:rPr>
        <w:t xml:space="preserve"> IPC channels, extended with an adaptive sliding-window Token Fusion engine that reconstructs whitespace-split and hex-escaped credentials before egress.</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A six-stage hybrid detection pipeline integrating an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Aho-Corasick keyword filter, a dynamic context engine, 1,361+ validated patterns from our catalog and SecretBench [20], a 6-factor Secret Confidence Score (SCS) model, and a tri-state decision gate.</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The SecureReveal Vault, implemented with Fernet authenticated encryption [21] (AES-128-CBC [22] with HMAC-SHA256 [23]) and transient memory storage (tmpfs), together with a tamper-evident SHA-256 [24] hash-chained audit ledger with remote SIEM anchoring.</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A transformation-aware blind lineage protocol using canonical keyed blind HMAC-SHA256 fingerprinting to join multi-representation sprawl across services (raw, Base64, Hex, URL-encoded), combined with a scoped exemption engine for pre-registered credentials.</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An autonomous closed-loop containment engine that gauges blast radius and enforces real-time mitigation via dynamic Kubernetes </w:t>
      </w:r>
      <w:r>
        <w:rPr>
          <w:rFonts w:ascii="Courier New" w:cs="Courier New" w:eastAsia="Courier New" w:hAnsi="Courier New"/>
          <w:b w:val="false"/>
          <w:bCs w:val="false"/>
          <w:i w:val="false"/>
          <w:iCs w:val="false"/>
          <w:sz w:val="18"/>
          <w:szCs w:val="18"/>
        </w:rPr>
        <w:t xml:space="preserve">V1NetworkPolicy</w:t>
      </w:r>
      <w:r>
        <w:rPr>
          <w:rFonts w:ascii="Times New Roman" w:cs="Times New Roman" w:eastAsia="Times New Roman" w:hAnsi="Times New Roman"/>
          <w:b w:val="false"/>
          <w:bCs w:val="false"/>
          <w:i w:val="false"/>
          <w:iCs w:val="false"/>
          <w:sz w:val="20"/>
          <w:szCs w:val="20"/>
        </w:rPr>
        <w:t xml:space="preserve"> [25] egress quarantine and cloud credential rotation.</w:t>
      </w:r>
    </w:p>
    <w:p>
      <w:pPr>
        <w:pStyle w:val="ListItem"/>
        <w:numPr>
          <w:ilvl w:val="0"/>
          <w:numId w:val="3"/>
        </w:numPr>
        <w:jc w:val="both"/>
      </w:pPr>
      <w:r>
        <w:rPr>
          <w:rFonts w:ascii="Times New Roman" w:cs="Times New Roman" w:eastAsia="Times New Roman" w:hAnsi="Times New Roman"/>
          <w:b w:val="false"/>
          <w:bCs w:val="false"/>
          <w:i w:val="false"/>
          <w:iCs w:val="false"/>
          <w:sz w:val="20"/>
          <w:szCs w:val="20"/>
        </w:rPr>
        <w:t xml:space="preserve">An F1-score of </w:t>
      </w:r>
      <w:r>
        <w:rPr>
          <w:rFonts w:ascii="Times New Roman" w:cs="Times New Roman" w:eastAsia="Times New Roman" w:hAnsi="Times New Roman"/>
          <w:b/>
          <w:bCs/>
          <w:i w:val="false"/>
          <w:iCs w:val="false"/>
          <w:sz w:val="20"/>
          <w:szCs w:val="20"/>
        </w:rPr>
        <w:t xml:space="preserve">0.9997</w:t>
      </w:r>
      <w:r>
        <w:rPr>
          <w:rFonts w:ascii="Times New Roman" w:cs="Times New Roman" w:eastAsia="Times New Roman" w:hAnsi="Times New Roman"/>
          <w:b w:val="false"/>
          <w:bCs w:val="false"/>
          <w:i w:val="false"/>
          <w:iCs w:val="false"/>
          <w:sz w:val="20"/>
          <w:szCs w:val="20"/>
        </w:rPr>
        <w:t xml:space="preserve"> on standard credentials, evasion recall raised from 32.20% to </w:t>
      </w:r>
      <w:r>
        <w:rPr>
          <w:rFonts w:ascii="Times New Roman" w:cs="Times New Roman" w:eastAsia="Times New Roman" w:hAnsi="Times New Roman"/>
          <w:b/>
          <w:bCs/>
          <w:i w:val="false"/>
          <w:iCs w:val="false"/>
          <w:sz w:val="20"/>
          <w:szCs w:val="20"/>
        </w:rPr>
        <w:t xml:space="preserve">91.30%</w:t>
      </w:r>
      <w:r>
        <w:rPr>
          <w:rFonts w:ascii="Times New Roman" w:cs="Times New Roman" w:eastAsia="Times New Roman" w:hAnsi="Times New Roman"/>
          <w:b w:val="false"/>
          <w:bCs w:val="false"/>
          <w:i w:val="false"/>
          <w:iCs w:val="false"/>
          <w:sz w:val="20"/>
          <w:szCs w:val="20"/>
        </w:rPr>
        <w:t xml:space="preserve">, pod containment policy dispatch in </w:t>
      </w:r>
      <w:r>
        <w:rPr>
          <w:rFonts w:ascii="Times New Roman" w:cs="Times New Roman" w:eastAsia="Times New Roman" w:hAnsi="Times New Roman"/>
          <w:b/>
          <w:bCs/>
          <w:i w:val="false"/>
          <w:iCs w:val="false"/>
          <w:sz w:val="20"/>
          <w:szCs w:val="20"/>
        </w:rPr>
        <w:t xml:space="preserve">16.7–26.7 ms</w:t>
      </w:r>
      <w:r>
        <w:rPr>
          <w:rFonts w:ascii="Times New Roman" w:cs="Times New Roman" w:eastAsia="Times New Roman" w:hAnsi="Times New Roman"/>
          <w:b w:val="false"/>
          <w:bCs w:val="false"/>
          <w:i w:val="false"/>
          <w:iCs w:val="false"/>
          <w:sz w:val="20"/>
          <w:szCs w:val="20"/>
        </w:rPr>
        <w:t xml:space="preserve">, and an average end-to-end latency of </w:t>
      </w:r>
      <w:r>
        <w:rPr>
          <w:rFonts w:ascii="Times New Roman" w:cs="Times New Roman" w:eastAsia="Times New Roman" w:hAnsi="Times New Roman"/>
          <w:b/>
          <w:bCs/>
          <w:i w:val="false"/>
          <w:iCs w:val="false"/>
          <w:sz w:val="20"/>
          <w:szCs w:val="20"/>
        </w:rPr>
        <w:t xml:space="preserve">0.586 ms/line</w:t>
      </w:r>
      <w:r>
        <w:rPr>
          <w:rFonts w:ascii="Times New Roman" w:cs="Times New Roman" w:eastAsia="Times New Roman" w:hAnsi="Times New Roman"/>
          <w:b w:val="false"/>
          <w:bCs w:val="false"/>
          <w:i w:val="false"/>
          <w:iCs w:val="false"/>
          <w:sz w:val="20"/>
          <w:szCs w:val="20"/>
        </w:rPr>
        <w:t xml:space="preserve"> (with benign bypass in </w:t>
      </w:r>
      <w:r>
        <w:rPr>
          <w:rFonts w:ascii="Times New Roman" w:cs="Times New Roman" w:eastAsia="Times New Roman" w:hAnsi="Times New Roman"/>
          <w:b/>
          <w:bCs/>
          <w:i w:val="false"/>
          <w:iCs w:val="false"/>
          <w:sz w:val="20"/>
          <w:szCs w:val="20"/>
        </w:rPr>
        <w:t xml:space="preserve">0.0056 ms</w:t>
      </w:r>
      <w:r>
        <w:rPr>
          <w:rFonts w:ascii="Times New Roman" w:cs="Times New Roman" w:eastAsia="Times New Roman" w:hAnsi="Times New Roman"/>
          <w:b w:val="false"/>
          <w:bCs w:val="false"/>
          <w:i w:val="false"/>
          <w:iCs w:val="false"/>
          <w:sz w:val="20"/>
          <w:szCs w:val="20"/>
        </w:rPr>
        <w:t xml:space="preserve">). LogShield is validated across an authoritative inventory of experimental datasets, an isolated Kubernetes control plane testbed, and an adversarial security test suite.</w:t>
      </w:r>
    </w:p>
    <w:p>
      <w:pPr>
        <w:pStyle w:val="Heading1"/>
        <w:pStyle w:val="Heading1"/>
      </w:pPr>
      <w:r>
        <w:rPr>
          <w:rFonts w:ascii="Times New Roman" w:cs="Times New Roman" w:eastAsia="Times New Roman" w:hAnsi="Times New Roman"/>
          <w:smallCaps/>
          <w:sz w:val="20"/>
          <w:szCs w:val="20"/>
        </w:rPr>
        <w:t xml:space="preserve">II. </w:t>
      </w:r>
      <w:r>
        <w:rPr>
          <w:rFonts w:ascii="Times New Roman" w:cs="Times New Roman" w:eastAsia="Times New Roman" w:hAnsi="Times New Roman"/>
          <w:smallCaps/>
          <w:sz w:val="20"/>
          <w:szCs w:val="20"/>
        </w:rPr>
        <w:t xml:space="preserve">Threat Model &amp; System Invariants</w:t>
      </w:r>
    </w:p>
    <w:p>
      <w:pPr>
        <w:pStyle w:val="Heading2"/>
        <w:pStyle w:val="Heading2"/>
      </w:pPr>
      <w:r>
        <w:rPr>
          <w:rFonts w:ascii="Times New Roman" w:cs="Times New Roman" w:eastAsia="Times New Roman" w:hAnsi="Times New Roman"/>
          <w:b w:val="false"/>
          <w:bCs w:val="false"/>
          <w:i/>
          <w:iCs/>
          <w:sz w:val="20"/>
          <w:szCs w:val="20"/>
        </w:rPr>
        <w:t xml:space="preserve">A. System Model and Trust Assumptions</w:t>
      </w:r>
    </w:p>
    <w:p>
      <w:pPr>
        <w:pStyle w:val="Body"/>
        <w:ind w:firstLine="0"/>
        <w:jc w:val="both"/>
      </w:pPr>
      <w:r>
        <w:rPr>
          <w:rFonts w:ascii="Times New Roman" w:cs="Times New Roman" w:eastAsia="Times New Roman" w:hAnsi="Times New Roman"/>
          <w:b w:val="false"/>
          <w:bCs w:val="false"/>
          <w:i w:val="false"/>
          <w:iCs w:val="false"/>
          <w:sz w:val="20"/>
          <w:szCs w:val="20"/>
        </w:rPr>
        <w:t xml:space="preserve">Workloads execute in multi-container pods across Kubernetes worker nodes; application containers write log entries to a shared memory-backed path. Containers within a pod share a local network namespace and storage volumes, while a node-level log shipper forwards container outputs to central storage.</w:t>
      </w:r>
    </w:p>
    <w:p>
      <w:pPr>
        <w:pStyle w:val="Body"/>
        <w:jc w:val="both"/>
      </w:pPr>
      <w:r>
        <w:rPr>
          <w:rFonts w:ascii="Times New Roman" w:cs="Times New Roman" w:eastAsia="Times New Roman" w:hAnsi="Times New Roman"/>
          <w:b w:val="false"/>
          <w:bCs w:val="false"/>
          <w:i/>
          <w:iCs/>
          <w:sz w:val="20"/>
          <w:szCs w:val="20"/>
        </w:rPr>
        <w:t xml:space="preserve">Trust Assumptions:</w:t>
      </w:r>
      <w:r>
        <w:rPr>
          <w:rFonts w:ascii="Times New Roman" w:cs="Times New Roman" w:eastAsia="Times New Roman" w:hAnsi="Times New Roman"/>
          <w:b w:val="false"/>
          <w:bCs w:val="false"/>
          <w:i w:val="false"/>
          <w:iCs w:val="false"/>
          <w:sz w:val="20"/>
          <w:szCs w:val="20"/>
        </w:rPr>
        <w:t xml:space="preserve"> We assume the underlying Linux host kernel, the containerd/Docker runtime, and the Kubernetes control plane (kube-apiserver) are uncompromised and correctly enforce pod cgroup, IPC, and network isolation boundaries; compromise of the host kernel or direct physical RAM acquisition on worker nodes is outside the scope of container sidecar controls. Table I summarizes the primary mathematical notations employed throughout this article.</w:t>
      </w:r>
    </w:p>
    <w:p>
      <w:pPr>
        <w:pStyle w:val="Caption"/>
        <w:keepNext/>
        <w:spacing w:after="0" w:before="120"/>
        <w:jc w:val="center"/>
      </w:pPr>
      <w:r>
        <w:rPr>
          <w:rFonts w:ascii="Times New Roman" w:cs="Times New Roman" w:eastAsia="Times New Roman" w:hAnsi="Times New Roman"/>
          <w:sz w:val="16"/>
          <w:szCs w:val="16"/>
        </w:rPr>
        <w:t xml:space="preserve">TABLE 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Summary of Mathematical Notations</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3540"/>
      </w:tblGrid>
      <w:tr>
        <w:trPr>
          <w:cantSplit/>
          <w:tblHeader/>
        </w:trPr>
        <w:tc>
          <w:tcPr>
            <w:tcW w:type="dxa" w:w="15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Symbol</w:t>
            </w:r>
          </w:p>
        </w:tc>
        <w:tc>
          <w:tcPr>
            <w:tcW w:type="dxa" w:w="35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Definition</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Raw input log line and sanitized output log line</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Candidate secret string and prefix-stripped secret string</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Σ, |Σ|</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Character alphabet and alphabet cardinality</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Shannon entropy of token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(bits/character)</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μ</w:t>
            </w:r>
            <w:r>
              <w:rPr>
                <w:rFonts w:ascii="Times New Roman" w:cs="Times New Roman" w:eastAsia="Times New Roman" w:hAnsi="Times New Roman"/>
                <w:b w:val="false"/>
                <w:bCs w:val="false"/>
                <w:i/>
                <w:iCs/>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σ</w:t>
            </w:r>
            <w:r>
              <w:rPr>
                <w:rFonts w:ascii="Times New Roman" w:cs="Times New Roman" w:eastAsia="Times New Roman" w:hAnsi="Times New Roman"/>
                <w:b w:val="false"/>
                <w:bCs w:val="false"/>
                <w:i/>
                <w:iCs/>
                <w:sz w:val="16"/>
                <w:szCs w:val="16"/>
                <w:vertAlign w:val="subscript"/>
              </w:rPr>
              <w:t xml:space="preserve">H</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Empirical mean (4.46) and standard deviation (0.71) of secret entropy</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vertAlign w:val="subscript"/>
              </w:rPr>
              <w:t xml:space="preserve">keys</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Dictionary of 2,000+ sensitive keyword roots</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x</w:t>
            </w:r>
            <w:r>
              <w:rPr>
                <w:rFonts w:ascii="Times New Roman" w:cs="Times New Roman" w:eastAsia="Times New Roman" w:hAnsi="Times New Roman"/>
                <w:b w:val="false"/>
                <w:bCs w:val="false"/>
                <w:i w:val="false"/>
                <w:iCs w:val="false"/>
                <w:sz w:val="16"/>
                <w:szCs w:val="16"/>
              </w:rPr>
              <w:t xml:space="preserve"> ∈ ℝ</w:t>
            </w:r>
            <w:r>
              <w:rPr>
                <w:rFonts w:ascii="Times New Roman" w:cs="Times New Roman" w:eastAsia="Times New Roman" w:hAnsi="Times New Roman"/>
                <w:b w:val="false"/>
                <w:bCs w:val="false"/>
                <w:i w:val="false"/>
                <w:iCs w:val="false"/>
                <w:sz w:val="16"/>
                <w:szCs w:val="16"/>
                <w:vertAlign w:val="superscript"/>
              </w:rPr>
              <w:t xml:space="preserve">6</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Normalized 6-dimensional feature vector</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w</w:t>
            </w:r>
            <w:r>
              <w:rPr>
                <w:rFonts w:ascii="Times New Roman" w:cs="Times New Roman" w:eastAsia="Times New Roman" w:hAnsi="Times New Roman"/>
                <w:b w:val="false"/>
                <w:bCs w:val="false"/>
                <w:i w:val="false"/>
                <w:iCs w:val="false"/>
                <w:sz w:val="16"/>
                <w:szCs w:val="16"/>
              </w:rPr>
              <w:t xml:space="preserve"> ∈ ℝ</w:t>
            </w:r>
            <w:r>
              <w:rPr>
                <w:rFonts w:ascii="Times New Roman" w:cs="Times New Roman" w:eastAsia="Times New Roman" w:hAnsi="Times New Roman"/>
                <w:b w:val="false"/>
                <w:bCs w:val="false"/>
                <w:i w:val="false"/>
                <w:iCs w:val="false"/>
                <w:sz w:val="16"/>
                <w:szCs w:val="16"/>
                <w:vertAlign w:val="superscript"/>
              </w:rPr>
              <w:t xml:space="preserve">6</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Model weights for confidence scoring (</w:t>
            </w: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val="false"/>
                <w:iCs w:val="false"/>
                <w:sz w:val="16"/>
                <w:szCs w:val="16"/>
                <w:vertAlign w:val="subscript"/>
              </w:rPr>
              <w:t xml:space="preserve">1</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val="false"/>
                <w:iCs w:val="false"/>
                <w:sz w:val="16"/>
                <w:szCs w:val="16"/>
                <w:vertAlign w:val="subscript"/>
              </w:rPr>
              <w:t xml:space="preserve">6</w:t>
            </w: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Secret Confidence Score (SCS), integer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[0, 100]</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ctx</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Continuous context score,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ctx</w:t>
            </w:r>
            <w:r>
              <w:rPr>
                <w:rFonts w:ascii="Times New Roman" w:cs="Times New Roman" w:eastAsia="Times New Roman" w:hAnsi="Times New Roman"/>
                <w:b w:val="false"/>
                <w:bCs w:val="false"/>
                <w:i w:val="false"/>
                <w:iCs w:val="false"/>
                <w:sz w:val="16"/>
                <w:szCs w:val="16"/>
              </w:rPr>
              <w:t xml:space="preserve"> ∈ [0.0, 1.0]</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v</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lineage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Node-local vault encryption key and HMAC lineage secret key</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i w:val="false"/>
                <w:iCs w:val="false"/>
                <w:sz w:val="16"/>
                <w:szCs w:val="16"/>
                <w:vertAlign w:val="superscript"/>
              </w:rPr>
              <w:t xml:space="preserve">∗</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Canonical blind keyed fingerprint of secret </w:t>
            </w:r>
            <w:r>
              <w:rPr>
                <w:rFonts w:ascii="Times New Roman" w:cs="Times New Roman" w:eastAsia="Times New Roman" w:hAnsi="Times New Roman"/>
                <w:b w:val="false"/>
                <w:bCs w:val="false"/>
                <w:i/>
                <w:iCs/>
                <w:sz w:val="16"/>
                <w:szCs w:val="16"/>
              </w:rPr>
              <w:t xml:space="preserve">s</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iCs/>
                <w:sz w:val="16"/>
                <w:szCs w:val="16"/>
                <w:vertAlign w:val="subscript"/>
              </w:rPr>
              <w:t xml:space="preserve">k</w:t>
            </w:r>
          </w:p>
        </w:tc>
        <w:tc>
          <w:tcPr>
            <w:tcW w:type="dxa" w:w="35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Cryptographic hash of audit ledger block </w:t>
            </w:r>
            <w:r>
              <w:rPr>
                <w:rFonts w:ascii="Times New Roman" w:cs="Times New Roman" w:eastAsia="Times New Roman" w:hAnsi="Times New Roman"/>
                <w:b w:val="false"/>
                <w:bCs w:val="false"/>
                <w:i/>
                <w:iCs/>
                <w:sz w:val="16"/>
                <w:szCs w:val="16"/>
              </w:rPr>
              <w:t xml:space="preserve">k</w:t>
            </w:r>
          </w:p>
        </w:tc>
      </w:tr>
      <w:tr>
        <w:trPr>
          <w:cantSplit/>
        </w:trPr>
        <w:tc>
          <w:tcPr>
            <w:tcW w:type="dxa" w:w="15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G</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E</w:t>
            </w:r>
            <w:r>
              <w:rPr>
                <w:rFonts w:ascii="Times New Roman" w:cs="Times New Roman" w:eastAsia="Times New Roman" w:hAnsi="Times New Roman"/>
                <w:b w:val="false"/>
                <w:bCs w:val="false"/>
                <w:i w:val="false"/>
                <w:iCs w:val="false"/>
                <w:sz w:val="16"/>
                <w:szCs w:val="16"/>
              </w:rPr>
              <w:t xml:space="preserve">)</w:t>
            </w:r>
          </w:p>
        </w:tc>
        <w:tc>
          <w:tcPr>
            <w:tcW w:type="dxa" w:w="354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Bipartite credential sprawl graph across the pods and secrets</w:t>
            </w:r>
          </w:p>
        </w:tc>
      </w:tr>
    </w:tbl>
    <w:p>
      <w:pPr>
        <w:pStyle w:val="Caption"/>
        <w:spacing w:after="80" w:before="0"/>
      </w:pPr>
    </w:p>
    <w:p>
      <w:pPr>
        <w:pStyle w:val="Heading2"/>
        <w:pStyle w:val="Heading2"/>
      </w:pPr>
      <w:r>
        <w:rPr>
          <w:rFonts w:ascii="Times New Roman" w:cs="Times New Roman" w:eastAsia="Times New Roman" w:hAnsi="Times New Roman"/>
          <w:b w:val="false"/>
          <w:bCs w:val="false"/>
          <w:i/>
          <w:iCs/>
          <w:sz w:val="20"/>
          <w:szCs w:val="20"/>
        </w:rPr>
        <w:t xml:space="preserve">B. Adversary Model</w:t>
      </w:r>
    </w:p>
    <w:p>
      <w:pPr>
        <w:pStyle w:val="Body"/>
        <w:ind w:firstLine="0"/>
        <w:jc w:val="both"/>
      </w:pPr>
      <w:r>
        <w:rPr>
          <w:rFonts w:ascii="Times New Roman" w:cs="Times New Roman" w:eastAsia="Times New Roman" w:hAnsi="Times New Roman"/>
          <w:b w:val="false"/>
          <w:bCs w:val="false"/>
          <w:i w:val="false"/>
          <w:iCs w:val="false"/>
          <w:sz w:val="20"/>
          <w:szCs w:val="20"/>
        </w:rPr>
        <w:t xml:space="preserve">We specify an adversary 𝒜 with the following capabilities: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Downstream Telemetry Consumer:</w:t>
      </w:r>
      <w:r>
        <w:rPr>
          <w:rFonts w:ascii="Times New Roman" w:cs="Times New Roman" w:eastAsia="Times New Roman" w:hAnsi="Times New Roman"/>
          <w:b w:val="false"/>
          <w:bCs w:val="false"/>
          <w:i w:val="false"/>
          <w:iCs w:val="false"/>
          <w:sz w:val="20"/>
          <w:szCs w:val="20"/>
        </w:rPr>
        <w:t xml:space="preserve"> 𝒜 has read access to the central log repository or intermediate forwarders, actively searching for credentials to escalate privileges.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Network Eavesdropper:</w:t>
      </w:r>
      <w:r>
        <w:rPr>
          <w:rFonts w:ascii="Times New Roman" w:cs="Times New Roman" w:eastAsia="Times New Roman" w:hAnsi="Times New Roman"/>
          <w:b w:val="false"/>
          <w:bCs w:val="false"/>
          <w:i w:val="false"/>
          <w:iCs w:val="false"/>
          <w:sz w:val="20"/>
          <w:szCs w:val="20"/>
        </w:rPr>
        <w:t xml:space="preserve"> 𝒜 observes network traffic between worker nodes and cloud storage endpoints.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Malicious Application Container / Insider:</w:t>
      </w:r>
      <w:r>
        <w:rPr>
          <w:rFonts w:ascii="Times New Roman" w:cs="Times New Roman" w:eastAsia="Times New Roman" w:hAnsi="Times New Roman"/>
          <w:b w:val="false"/>
          <w:bCs w:val="false"/>
          <w:i w:val="false"/>
          <w:iCs w:val="false"/>
          <w:sz w:val="20"/>
          <w:szCs w:val="20"/>
        </w:rPr>
        <w:t xml:space="preserve"> 𝒜 controls an application container within the pod or holds access to developer namespaces, attempting to recover leaked secrets from cluster telemetry or tamper with local audit databases.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Adversarial Obfuscator:</w:t>
      </w:r>
      <w:r>
        <w:rPr>
          <w:rFonts w:ascii="Times New Roman" w:cs="Times New Roman" w:eastAsia="Times New Roman" w:hAnsi="Times New Roman"/>
          <w:b w:val="false"/>
          <w:bCs w:val="false"/>
          <w:i w:val="false"/>
          <w:iCs w:val="false"/>
          <w:sz w:val="20"/>
          <w:szCs w:val="20"/>
        </w:rPr>
        <w:t xml:space="preserve"> 𝒜 or a misconfigured logger emits credentials using delimiter splitting (e.g., </w:t>
      </w:r>
      <w:r>
        <w:rPr>
          <w:rFonts w:ascii="Courier New" w:cs="Courier New" w:eastAsia="Courier New" w:hAnsi="Courier New"/>
          <w:b w:val="false"/>
          <w:bCs w:val="false"/>
          <w:i w:val="false"/>
          <w:iCs w:val="false"/>
          <w:sz w:val="18"/>
          <w:szCs w:val="18"/>
        </w:rPr>
        <w:t xml:space="preserve">AKIA IOSF...</w:t>
      </w:r>
      <w:r>
        <w:rPr>
          <w:rFonts w:ascii="Times New Roman" w:cs="Times New Roman" w:eastAsia="Times New Roman" w:hAnsi="Times New Roman"/>
          <w:b w:val="false"/>
          <w:bCs w:val="false"/>
          <w:i w:val="false"/>
          <w:iCs w:val="false"/>
          <w:sz w:val="20"/>
          <w:szCs w:val="20"/>
        </w:rPr>
        <w:t xml:space="preserve">), byte-level hex-escaping (</w:t>
      </w:r>
      <w:r>
        <w:rPr>
          <w:rFonts w:ascii="Courier New" w:cs="Courier New" w:eastAsia="Courier New" w:hAnsi="Courier New"/>
          <w:b w:val="false"/>
          <w:bCs w:val="false"/>
          <w:i w:val="false"/>
          <w:iCs w:val="false"/>
          <w:sz w:val="18"/>
          <w:szCs w:val="18"/>
        </w:rPr>
        <w:t xml:space="preserve">\x41\x4b...</w:t>
      </w:r>
      <w:r>
        <w:rPr>
          <w:rFonts w:ascii="Times New Roman" w:cs="Times New Roman" w:eastAsia="Times New Roman" w:hAnsi="Times New Roman"/>
          <w:b w:val="false"/>
          <w:bCs w:val="false"/>
          <w:i w:val="false"/>
          <w:iCs w:val="false"/>
          <w:sz w:val="20"/>
          <w:szCs w:val="20"/>
        </w:rPr>
        <w:t xml:space="preserve">), URL percent-encoding, or sub-token Base64 wrapping to avoid static signature matching.</w:t>
      </w:r>
    </w:p>
    <w:p>
      <w:pPr>
        <w:pStyle w:val="Heading2"/>
        <w:pStyle w:val="Heading2"/>
      </w:pPr>
      <w:r>
        <w:rPr>
          <w:rFonts w:ascii="Times New Roman" w:cs="Times New Roman" w:eastAsia="Times New Roman" w:hAnsi="Times New Roman"/>
          <w:b w:val="false"/>
          <w:bCs w:val="false"/>
          <w:i/>
          <w:iCs/>
          <w:sz w:val="20"/>
          <w:szCs w:val="20"/>
        </w:rPr>
        <w:t xml:space="preserve">C. Formal Security Invariants</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enforces six formal security invariants: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1 (Policy-Conditioned Sanitization Invariant):</w:t>
      </w:r>
      <w:r>
        <w:rPr>
          <w:rFonts w:ascii="Times New Roman" w:cs="Times New Roman" w:eastAsia="Times New Roman" w:hAnsi="Times New Roman"/>
          <w:b w:val="false"/>
          <w:bCs w:val="false"/>
          <w:i w:val="false"/>
          <w:iCs w:val="false"/>
          <w:sz w:val="20"/>
          <w:szCs w:val="20"/>
        </w:rPr>
        <w:t xml:space="preserve"> For any candidate credential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cand</w:t>
      </w:r>
      <w:r>
        <w:rPr>
          <w:rFonts w:ascii="Times New Roman" w:cs="Times New Roman" w:eastAsia="Times New Roman" w:hAnsi="Times New Roman"/>
          <w:b w:val="false"/>
          <w:bCs w:val="false"/>
          <w:i w:val="false"/>
          <w:iCs w:val="false"/>
          <w:sz w:val="20"/>
          <w:szCs w:val="20"/>
        </w:rPr>
        <w:t xml:space="preserve"> detected within log line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if its confidence score satisfies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(where the operational threshold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 80), then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is strictly replaced with an opaque surrogate tag before emission:</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cand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(1)</w:t>
      </w:r>
    </w:p>
    <w:p>
      <w:pPr>
        <w:pStyle w:val="Body"/>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[REDACTED:SEC-</w:t>
      </w:r>
      <w:r>
        <w:rPr>
          <w:rFonts w:ascii="Times New Roman" w:cs="Times New Roman" w:eastAsia="Times New Roman" w:hAnsi="Times New Roman"/>
          <w:b w:val="false"/>
          <w:bCs w:val="false"/>
          <w:i/>
          <w:iCs/>
          <w:sz w:val="20"/>
          <w:szCs w:val="20"/>
        </w:rPr>
        <w:t xml:space="preserve">ID</w:t>
      </w:r>
      <w:r>
        <w:rPr>
          <w:rFonts w:ascii="Times New Roman" w:cs="Times New Roman" w:eastAsia="Times New Roman" w:hAnsi="Times New Roman"/>
          <w:b w:val="false"/>
          <w:bCs w:val="false"/>
          <w:i w:val="false"/>
          <w:iCs w:val="false"/>
          <w:sz w:val="20"/>
          <w:szCs w:val="20"/>
        </w:rPr>
        <w:t xml:space="preserve">:SCS=</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For borderline candidates in the triage band (50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&lt; 80), LogShield employs [FLAGGED:SCS=</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tagging to preserve developer debugging context while alerting monitoring systems. Setting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 50 enforces unconditional redaction across both bands in compliance-strict environments.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2 (Vault Secrecy &amp; Authenticated Integrity):</w:t>
      </w:r>
      <w:r>
        <w:rPr>
          <w:rFonts w:ascii="Times New Roman" w:cs="Times New Roman" w:eastAsia="Times New Roman" w:hAnsi="Times New Roman"/>
          <w:b w:val="false"/>
          <w:bCs w:val="false"/>
          <w:i w:val="false"/>
          <w:iCs w:val="false"/>
          <w:sz w:val="20"/>
          <w:szCs w:val="20"/>
        </w:rPr>
        <w:t xml:space="preserve"> Plaintext credentials are always encrypted using Fernet authenticated encryption (AES-128-CBC with HMAC-SHA256) before storage:</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Fernet-Encrypt</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(2)</w:t>
      </w:r>
    </w:p>
    <w:p>
      <w:pPr>
        <w:pStyle w:val="Body"/>
        <w:ind w:firstLine="0"/>
        <w:jc w:val="both"/>
      </w:pPr>
      <w:r>
        <w:rPr>
          <w:rFonts w:ascii="Times New Roman" w:cs="Times New Roman" w:eastAsia="Times New Roman" w:hAnsi="Times New Roman"/>
          <w:b w:val="false"/>
          <w:bCs w:val="false"/>
          <w:i w:val="false"/>
          <w:iCs w:val="false"/>
          <w:sz w:val="20"/>
          <w:szCs w:val="20"/>
        </w:rPr>
        <w:t xml:space="preserve">Direct ciphertext alterations in storage fail HMAC verification and trigger immediate </w:t>
      </w:r>
      <w:r>
        <w:rPr>
          <w:rFonts w:ascii="Courier New" w:cs="Courier New" w:eastAsia="Courier New" w:hAnsi="Courier New"/>
          <w:b w:val="false"/>
          <w:bCs w:val="false"/>
          <w:i w:val="false"/>
          <w:iCs w:val="false"/>
          <w:sz w:val="18"/>
          <w:szCs w:val="18"/>
        </w:rPr>
        <w:t xml:space="preserve">TAMPER_DETECTED</w:t>
      </w:r>
      <w:r>
        <w:rPr>
          <w:rFonts w:ascii="Times New Roman" w:cs="Times New Roman" w:eastAsia="Times New Roman" w:hAnsi="Times New Roman"/>
          <w:b w:val="false"/>
          <w:bCs w:val="false"/>
          <w:i w:val="false"/>
          <w:iCs w:val="false"/>
          <w:sz w:val="20"/>
          <w:szCs w:val="20"/>
        </w:rPr>
        <w:t xml:space="preserve"> security events. The ephemeral master key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 resides only in memory-backed tmpfs RAM and is zeroized upon pod termination.</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3 (Keyed Privacy-Preserving Blind Lineage):</w:t>
      </w:r>
      <w:r>
        <w:rPr>
          <w:rFonts w:ascii="Times New Roman" w:cs="Times New Roman" w:eastAsia="Times New Roman" w:hAnsi="Times New Roman"/>
          <w:b w:val="false"/>
          <w:bCs w:val="false"/>
          <w:i w:val="false"/>
          <w:iCs w:val="false"/>
          <w:sz w:val="20"/>
          <w:szCs w:val="20"/>
        </w:rPr>
        <w:t xml:space="preserve"> Lineage records store only keyed blind fingerprints:</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 HMAC-SHA256(</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lineage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(3)</w:t>
      </w:r>
    </w:p>
    <w:p>
      <w:pPr>
        <w:pStyle w:val="Body"/>
        <w:ind w:firstLine="0"/>
        <w:jc w:val="both"/>
      </w:pPr>
      <w:r>
        <w:rPr>
          <w:rFonts w:ascii="Times New Roman" w:cs="Times New Roman" w:eastAsia="Times New Roman" w:hAnsi="Times New Roman"/>
          <w:b w:val="false"/>
          <w:bCs w:val="false"/>
          <w:i w:val="false"/>
          <w:iCs w:val="false"/>
          <w:sz w:val="20"/>
          <w:szCs w:val="20"/>
        </w:rPr>
        <w:t xml:space="preserve">Without knowledge of the 256-bit cluster key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lineage</w:t>
      </w:r>
      <w:r>
        <w:rPr>
          <w:rFonts w:ascii="Times New Roman" w:cs="Times New Roman" w:eastAsia="Times New Roman" w:hAnsi="Times New Roman"/>
          <w:b w:val="false"/>
          <w:bCs w:val="false"/>
          <w:i w:val="false"/>
          <w:iCs w:val="false"/>
          <w:sz w:val="20"/>
          <w:szCs w:val="20"/>
        </w:rPr>
        <w:t xml:space="preserve">, dictionary recovery of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from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is computationally infeasible; multi-format transit representations normalize to the same canonical graph node.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4 (Tamper-Evident Audit Ledger with Remote Anchoring):</w:t>
      </w:r>
      <w:r>
        <w:rPr>
          <w:rFonts w:ascii="Times New Roman" w:cs="Times New Roman" w:eastAsia="Times New Roman" w:hAnsi="Times New Roman"/>
          <w:b w:val="false"/>
          <w:bCs w:val="false"/>
          <w:i w:val="false"/>
          <w:iCs w:val="false"/>
          <w:sz w:val="20"/>
          <w:szCs w:val="20"/>
        </w:rPr>
        <w:t xml:space="preserve"> Audit records are linked sequentially via SHA-256 hash chains; alterations to local historical entries invalidate chain head verification. Asynchronous streaming of block heads to external immutable SIEM storage prevents a local pod-level adversary from forging an internally coherent ledger.</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5 (Bounded Processing Complexity):</w:t>
      </w:r>
      <w:r>
        <w:rPr>
          <w:rFonts w:ascii="Times New Roman" w:cs="Times New Roman" w:eastAsia="Times New Roman" w:hAnsi="Times New Roman"/>
          <w:b w:val="false"/>
          <w:bCs w:val="false"/>
          <w:i w:val="false"/>
          <w:iCs w:val="false"/>
          <w:sz w:val="20"/>
          <w:szCs w:val="20"/>
        </w:rPr>
        <w:t xml:space="preserve"> Expensive Stage 4 regular expression matching is gated by keyword verification and bounded by an asynchronous 5.0 ms watchdog timer, preventing algorithmic ReDoS attacks. Stage 1 and 2 prefiltering executes in strictly linear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time over input length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Invariant 6 (Workload-Scoped Egress Quarantine):</w:t>
      </w:r>
      <w:r>
        <w:rPr>
          <w:rFonts w:ascii="Times New Roman" w:cs="Times New Roman" w:eastAsia="Times New Roman" w:hAnsi="Times New Roman"/>
          <w:b w:val="false"/>
          <w:bCs w:val="false"/>
          <w:i w:val="false"/>
          <w:iCs w:val="false"/>
          <w:sz w:val="20"/>
          <w:szCs w:val="20"/>
        </w:rPr>
        <w:t xml:space="preserve"> When the containment policy triggers network quarantine for a leaking pod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leak</w:t>
      </w:r>
      <w:r>
        <w:rPr>
          <w:rFonts w:ascii="Times New Roman" w:cs="Times New Roman" w:eastAsia="Times New Roman" w:hAnsi="Times New Roman"/>
          <w:b w:val="false"/>
          <w:bCs w:val="false"/>
          <w:i w:val="false"/>
          <w:iCs w:val="false"/>
          <w:sz w:val="20"/>
          <w:szCs w:val="20"/>
        </w:rPr>
        <w:t xml:space="preserve">, dynamic </w:t>
      </w:r>
      <w:r>
        <w:rPr>
          <w:rFonts w:ascii="Courier New" w:cs="Courier New" w:eastAsia="Courier New" w:hAnsi="Courier New"/>
          <w:b w:val="false"/>
          <w:bCs w:val="false"/>
          <w:i w:val="false"/>
          <w:iCs w:val="false"/>
          <w:sz w:val="18"/>
          <w:szCs w:val="18"/>
        </w:rPr>
        <w:t xml:space="preserve">V1NetworkPolicy</w:t>
      </w:r>
      <w:r>
        <w:rPr>
          <w:rFonts w:ascii="Times New Roman" w:cs="Times New Roman" w:eastAsia="Times New Roman" w:hAnsi="Times New Roman"/>
          <w:b w:val="false"/>
          <w:bCs w:val="false"/>
          <w:i w:val="false"/>
          <w:iCs w:val="false"/>
          <w:sz w:val="20"/>
          <w:szCs w:val="20"/>
        </w:rPr>
        <w:t xml:space="preserve"> egress isolation applies strictly to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leak</w:t>
      </w:r>
      <w:r>
        <w:rPr>
          <w:rFonts w:ascii="Times New Roman" w:cs="Times New Roman" w:eastAsia="Times New Roman" w:hAnsi="Times New Roman"/>
          <w:b w:val="false"/>
          <w:bCs w:val="false"/>
          <w:i w:val="false"/>
          <w:iCs w:val="false"/>
          <w:sz w:val="20"/>
          <w:szCs w:val="20"/>
        </w:rPr>
        <w:t xml:space="preserve">:</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EgressBlocked(</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leak</w:t>
      </w:r>
      <w:r>
        <w:rPr>
          <w:rFonts w:ascii="Times New Roman" w:cs="Times New Roman" w:eastAsia="Times New Roman" w:hAnsi="Times New Roman"/>
          <w:b w:val="false"/>
          <w:bCs w:val="false"/>
          <w:i w:val="false"/>
          <w:iCs w:val="false"/>
          <w:sz w:val="20"/>
          <w:szCs w:val="20"/>
        </w:rPr>
        <w:t xml:space="preserve">) = True,</w:t>
      </w:r>
      <w:r>
        <w:rPr>
          <w:rFonts w:ascii="Times New Roman" w:cs="Times New Roman" w:eastAsia="Times New Roman" w:hAnsi="Times New Roman"/>
          <w:sz w:val="20"/>
          <w:szCs w:val="20"/>
        </w:rPr>
        <w:t xml:space="preserve"/>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vertAlign w:val="subscript"/>
        </w:rPr>
        <w:t xml:space="preserve">leak</w:t>
      </w:r>
      <w:r>
        <w:rPr>
          <w:rFonts w:ascii="Times New Roman" w:cs="Times New Roman" w:eastAsia="Times New Roman" w:hAnsi="Times New Roman"/>
          <w:b w:val="false"/>
          <w:bCs w:val="false"/>
          <w:i w:val="false"/>
          <w:iCs w:val="false"/>
          <w:sz w:val="20"/>
          <w:szCs w:val="20"/>
        </w:rPr>
        <w:t xml:space="preserve">, EgressBlocked(</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False</w:t>
      </w:r>
      <w:r>
        <w:rPr>
          <w:rFonts w:ascii="Times New Roman" w:cs="Times New Roman" w:eastAsia="Times New Roman" w:hAnsi="Times New Roman"/>
          <w:sz w:val="20"/>
          <w:szCs w:val="20"/>
        </w:rPr>
        <w:t xml:space="preserve">	(4)</w:t>
      </w:r>
    </w:p>
    <w:p>
      <w:pPr>
        <w:pStyle w:val="Body"/>
        <w:ind w:firstLine="0"/>
        <w:jc w:val="both"/>
      </w:pPr>
      <w:r>
        <w:rPr>
          <w:rFonts w:ascii="Times New Roman" w:cs="Times New Roman" w:eastAsia="Times New Roman" w:hAnsi="Times New Roman"/>
          <w:b w:val="false"/>
          <w:bCs w:val="false"/>
          <w:i w:val="false"/>
          <w:iCs w:val="false"/>
          <w:sz w:val="20"/>
          <w:szCs w:val="20"/>
        </w:rPr>
        <w:t xml:space="preserve">ensuring zero collateral disruption on innocent microservice workloads.</w:t>
      </w:r>
    </w:p>
    <w:p>
      <w:pPr>
        <w:pStyle w:val="Heading1"/>
        <w:pStyle w:val="Heading1"/>
      </w:pPr>
      <w:r>
        <w:rPr>
          <w:rFonts w:ascii="Times New Roman" w:cs="Times New Roman" w:eastAsia="Times New Roman" w:hAnsi="Times New Roman"/>
          <w:smallCaps/>
          <w:sz w:val="20"/>
          <w:szCs w:val="20"/>
        </w:rPr>
        <w:t xml:space="preserve">III. </w:t>
      </w:r>
      <w:r>
        <w:rPr>
          <w:rFonts w:ascii="Times New Roman" w:cs="Times New Roman" w:eastAsia="Times New Roman" w:hAnsi="Times New Roman"/>
          <w:smallCaps/>
          <w:sz w:val="20"/>
          <w:szCs w:val="20"/>
        </w:rPr>
        <w:t xml:space="preserve">Related Work</w:t>
      </w:r>
    </w:p>
    <w:p>
      <w:pPr>
        <w:pStyle w:val="Heading2"/>
        <w:pStyle w:val="Heading2"/>
      </w:pPr>
      <w:r>
        <w:rPr>
          <w:rFonts w:ascii="Times New Roman" w:cs="Times New Roman" w:eastAsia="Times New Roman" w:hAnsi="Times New Roman"/>
          <w:b w:val="false"/>
          <w:bCs w:val="false"/>
          <w:i/>
          <w:iCs/>
          <w:sz w:val="20"/>
          <w:szCs w:val="20"/>
        </w:rPr>
        <w:t xml:space="preserve">A. Log Privacy and Anonymization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Zhi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examined 413 real-world vulnerabilities reported under CWE-532, identifying whole-object logging (43.4%) and incorrect permissions (17.5%) as the primary causes of leakage. A thorough 2025 ACM PACMSE study by Aghili, Li, and Khomh [3] assessed 25 public log datasets from the LogHub [26] and Internet Traffic Archive collections and surveyed 45 industry practitioners. Their empirical findings showed that while 86.7% of practitioners classify IP addresses and 82.2% classify MAC addresses as sensitive, only 52% recognize file paths and 59% acknowledge hostnames as sensitive identifiers; crucially, 66.7% of surveyed practitioners reported that existing log anonymization tools show unacceptable computational overhead or lack real-time throughput for production telemetry. Foundational work by Slagell and Yurcik [27], [28] categorized five attack vectors against log anonymization: fingerprinting, structure recognition, known mapping attacks, data injection, and cryptographic attacks. Portillo-Dominguez and Ayala-Rivera proposed SafeLog [7], reporting a 65% reduction in log volume while preserving anomaly detection utility on the NASA-HTTP and Yahoo benchmark datasets; however, SafeLog operates as an external stand-in rather than an in-pod element, incurring network serialization and configuration overhead. Khoje [8] studied data masking in B2B data platforms, highlighting the performance trade-offs between static masking, dynamic masking, and cryptographic transformation.</w:t>
      </w:r>
    </w:p>
    <w:p>
      <w:pPr>
        <w:pStyle w:val="Heading2"/>
        <w:pStyle w:val="Heading2"/>
      </w:pPr>
      <w:r>
        <w:rPr>
          <w:rFonts w:ascii="Times New Roman" w:cs="Times New Roman" w:eastAsia="Times New Roman" w:hAnsi="Times New Roman"/>
          <w:b w:val="false"/>
          <w:bCs w:val="false"/>
          <w:i/>
          <w:iCs/>
          <w:sz w:val="20"/>
          <w:szCs w:val="20"/>
        </w:rPr>
        <w:t xml:space="preserve">B. Secret Detection in Repositories and Code</w:t>
      </w:r>
    </w:p>
    <w:p>
      <w:pPr>
        <w:pStyle w:val="Body"/>
        <w:ind w:firstLine="0"/>
        <w:jc w:val="both"/>
      </w:pPr>
      <w:r>
        <w:rPr>
          <w:rFonts w:ascii="Times New Roman" w:cs="Times New Roman" w:eastAsia="Times New Roman" w:hAnsi="Times New Roman"/>
          <w:b w:val="false"/>
          <w:bCs w:val="false"/>
          <w:i w:val="false"/>
          <w:iCs w:val="false"/>
          <w:sz w:val="20"/>
          <w:szCs w:val="20"/>
        </w:rPr>
        <w:t xml:space="preserve">Meli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[29] analyzed public Git repositories, revealing that thousands of valid credentials across 11 high-impact platforms are leaked daily. Basak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[20] constructed SecretBench, collecting 97,479 candidate strings from 818 repositories to benchmark 761 regular expressions. Saha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[19] extracted 24 syntactic traits from 300 repositories (roughly 28 million files) and employed an ensemble of Logistic Regression, Naive Bayes, and Support Vector Machines, achieving 84% precision on 5,000 candidate samples. Wahab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curated 54,148 candidate instances from 50,680 GitHub issue reports across 27,121 repositories using 761 regexes from SecretBench. Their empirical evaluation revealed that raw regular expressions yield an F1-score of only 12.8% due to false positives, whereas contextual transformer models (CodeBERT, RoBERTa) reach F1-scores between 92.7% and 94.5%. Rahman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[30] fine-tuned 7B and 8B models (LLaMA-3.1, Mistral, CodeLLaMA) on SecretBench, showing that contextual fine-tuning substantially improves precision over regex baselines.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[31] investigated 18 credential types across 6 neural code completion tools and found that secret tokens follow a Gaussian Shannon entropy distribution with a mean of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4.46 bits/char and standard deviation </w:t>
      </w:r>
      <w:r>
        <w:rPr>
          <w:rFonts w:ascii="Times New Roman" w:cs="Times New Roman" w:eastAsia="Times New Roman" w:hAnsi="Times New Roman"/>
          <w:b w:val="false"/>
          <w:bCs w:val="false"/>
          <w:i/>
          <w:iCs/>
          <w:sz w:val="20"/>
          <w:szCs w:val="20"/>
        </w:rPr>
        <w:t xml:space="preserve">σ</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0.71, establishing a 3-sigma lower rejection threshold at 2.33 bits/char.</w:t>
      </w:r>
    </w:p>
    <w:p>
      <w:pPr>
        <w:pStyle w:val="Body"/>
        <w:jc w:val="both"/>
      </w:pPr>
      <w:r>
        <w:rPr>
          <w:rFonts w:ascii="Times New Roman" w:cs="Times New Roman" w:eastAsia="Times New Roman" w:hAnsi="Times New Roman"/>
          <w:b w:val="false"/>
          <w:bCs w:val="false"/>
          <w:i w:val="false"/>
          <w:iCs w:val="false"/>
          <w:sz w:val="20"/>
          <w:szCs w:val="20"/>
        </w:rPr>
        <w:t xml:space="preserve">While language models achieve high classification accuracy in offline settings, their computational demands (multiple gigabytes of GPU memory and latencies exceeding 100 ms) make them impractical for real-time container log filtering. LogShield resolves this bottleneck by combining an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string automaton with a 6-factor statistical model that executes in under 0.6 ms on commodity CPUs.</w:t>
      </w:r>
    </w:p>
    <w:p>
      <w:pPr>
        <w:pStyle w:val="Heading1"/>
        <w:pStyle w:val="Heading1"/>
      </w:pPr>
      <w:r>
        <w:rPr>
          <w:rFonts w:ascii="Times New Roman" w:cs="Times New Roman" w:eastAsia="Times New Roman" w:hAnsi="Times New Roman"/>
          <w:smallCaps/>
          <w:sz w:val="20"/>
          <w:szCs w:val="20"/>
        </w:rPr>
        <w:t xml:space="preserve">IV. </w:t>
      </w:r>
      <w:r>
        <w:rPr>
          <w:rFonts w:ascii="Times New Roman" w:cs="Times New Roman" w:eastAsia="Times New Roman" w:hAnsi="Times New Roman"/>
          <w:smallCaps/>
          <w:sz w:val="20"/>
          <w:szCs w:val="20"/>
        </w:rPr>
        <w:t xml:space="preserve">System Architecture</w:t>
      </w:r>
    </w:p>
    <w:p>
      <w:pPr>
        <w:pStyle w:val="Heading2"/>
        <w:pStyle w:val="Heading2"/>
      </w:pPr>
      <w:r>
        <w:rPr>
          <w:rFonts w:ascii="Times New Roman" w:cs="Times New Roman" w:eastAsia="Times New Roman" w:hAnsi="Times New Roman"/>
          <w:b w:val="false"/>
          <w:bCs w:val="false"/>
          <w:i/>
          <w:iCs/>
          <w:sz w:val="20"/>
          <w:szCs w:val="20"/>
        </w:rPr>
        <w:t xml:space="preserve">A. In-Pod Sidecar Interception Mechanics</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is deployed as a co-located sidecar container within the Kubernetes pod boundary (Fig. 1). This architecture enforces four critical operational invariants:</w:t>
      </w:r>
    </w:p>
    <w:p>
      <w:pPr>
        <w:pStyle w:val="ListItem"/>
        <w:numPr>
          <w:ilvl w:val="0"/>
          <w:numId w:val="4"/>
        </w:numPr>
        <w:jc w:val="both"/>
      </w:pPr>
      <w:r>
        <w:rPr>
          <w:rFonts w:ascii="Times New Roman" w:cs="Times New Roman" w:eastAsia="Times New Roman" w:hAnsi="Times New Roman"/>
          <w:b w:val="false"/>
          <w:bCs w:val="false"/>
          <w:i/>
          <w:iCs/>
          <w:sz w:val="20"/>
          <w:szCs w:val="20"/>
        </w:rPr>
        <w:t xml:space="preserve">Local Boundary Containment:</w:t>
      </w:r>
      <w:r>
        <w:rPr>
          <w:rFonts w:ascii="Times New Roman" w:cs="Times New Roman" w:eastAsia="Times New Roman" w:hAnsi="Times New Roman"/>
          <w:b w:val="false"/>
          <w:bCs w:val="false"/>
          <w:i w:val="false"/>
          <w:iCs w:val="false"/>
          <w:sz w:val="20"/>
          <w:szCs w:val="20"/>
        </w:rPr>
        <w:t xml:space="preserve"> Interception occurs entirely within pod-local memory, preventing raw credentials from ever crossing container network namespaces or touching persistent disk.</w:t>
      </w:r>
    </w:p>
    <w:p>
      <w:pPr>
        <w:pStyle w:val="ListItem"/>
        <w:numPr>
          <w:ilvl w:val="0"/>
          <w:numId w:val="4"/>
        </w:numPr>
        <w:jc w:val="both"/>
      </w:pPr>
      <w:r>
        <w:rPr>
          <w:rFonts w:ascii="Times New Roman" w:cs="Times New Roman" w:eastAsia="Times New Roman" w:hAnsi="Times New Roman"/>
          <w:b w:val="false"/>
          <w:bCs w:val="false"/>
          <w:i/>
          <w:iCs/>
          <w:sz w:val="20"/>
          <w:szCs w:val="20"/>
        </w:rPr>
        <w:t xml:space="preserve">Zero Application Source Modification:</w:t>
      </w:r>
      <w:r>
        <w:rPr>
          <w:rFonts w:ascii="Times New Roman" w:cs="Times New Roman" w:eastAsia="Times New Roman" w:hAnsi="Times New Roman"/>
          <w:b w:val="false"/>
          <w:bCs w:val="false"/>
          <w:i w:val="false"/>
          <w:iCs w:val="false"/>
          <w:sz w:val="20"/>
          <w:szCs w:val="20"/>
        </w:rPr>
        <w:t xml:space="preserve"> Developers do not adjust application code; log streams are intercepted using standard Kubernetes volume mounts and container entrypoint redirection.</w:t>
      </w:r>
    </w:p>
    <w:p>
      <w:pPr>
        <w:pStyle w:val="ListItem"/>
        <w:numPr>
          <w:ilvl w:val="0"/>
          <w:numId w:val="4"/>
        </w:numPr>
        <w:jc w:val="both"/>
      </w:pPr>
      <w:r>
        <w:rPr>
          <w:rFonts w:ascii="Times New Roman" w:cs="Times New Roman" w:eastAsia="Times New Roman" w:hAnsi="Times New Roman"/>
          <w:b w:val="false"/>
          <w:bCs w:val="false"/>
          <w:i/>
          <w:iCs/>
          <w:sz w:val="20"/>
          <w:szCs w:val="20"/>
        </w:rPr>
        <w:t xml:space="preserve">Exclusive Telemetry Egress:</w:t>
      </w:r>
      <w:r>
        <w:rPr>
          <w:rFonts w:ascii="Times New Roman" w:cs="Times New Roman" w:eastAsia="Times New Roman" w:hAnsi="Times New Roman"/>
          <w:b w:val="false"/>
          <w:bCs w:val="false"/>
          <w:i w:val="false"/>
          <w:iCs w:val="false"/>
          <w:sz w:val="20"/>
          <w:szCs w:val="20"/>
        </w:rPr>
        <w:t xml:space="preserve"> The application container’s standard streams are routed exclusively into the pod-internal shared buffer, so node-level log shipping agents (e.g., Fluent Bit, Vector, Promtail) tailing </w:t>
      </w:r>
      <w:r>
        <w:rPr>
          <w:rFonts w:ascii="Courier New" w:cs="Courier New" w:eastAsia="Courier New" w:hAnsi="Courier New"/>
          <w:b w:val="false"/>
          <w:bCs w:val="false"/>
          <w:i w:val="false"/>
          <w:iCs w:val="false"/>
          <w:sz w:val="18"/>
          <w:szCs w:val="18"/>
        </w:rPr>
        <w:t xml:space="preserve">/var/log/pods/...</w:t>
      </w:r>
      <w:r>
        <w:rPr>
          <w:rFonts w:ascii="Times New Roman" w:cs="Times New Roman" w:eastAsia="Times New Roman" w:hAnsi="Times New Roman"/>
          <w:b w:val="false"/>
          <w:bCs w:val="false"/>
          <w:i w:val="false"/>
          <w:iCs w:val="false"/>
          <w:sz w:val="20"/>
          <w:szCs w:val="20"/>
        </w:rPr>
        <w:t xml:space="preserve"> ingest only post-sanitized entries. The sidecar is the sole container attached to the pod’s outward standard output stream.</w:t>
      </w:r>
    </w:p>
    <w:p>
      <w:pPr>
        <w:pStyle w:val="ListItem"/>
        <w:numPr>
          <w:ilvl w:val="0"/>
          <w:numId w:val="4"/>
        </w:numPr>
        <w:jc w:val="both"/>
      </w:pPr>
      <w:r>
        <w:rPr>
          <w:rFonts w:ascii="Times New Roman" w:cs="Times New Roman" w:eastAsia="Times New Roman" w:hAnsi="Times New Roman"/>
          <w:b w:val="false"/>
          <w:bCs w:val="false"/>
          <w:i/>
          <w:iCs/>
          <w:sz w:val="20"/>
          <w:szCs w:val="20"/>
        </w:rPr>
        <w:t xml:space="preserve">Kernel Memory Protection:</w:t>
      </w:r>
      <w:r>
        <w:rPr>
          <w:rFonts w:ascii="Times New Roman" w:cs="Times New Roman" w:eastAsia="Times New Roman" w:hAnsi="Times New Roman"/>
          <w:b w:val="false"/>
          <w:bCs w:val="false"/>
          <w:i w:val="false"/>
          <w:iCs w:val="false"/>
          <w:sz w:val="20"/>
          <w:szCs w:val="20"/>
        </w:rPr>
        <w:t xml:space="preserve"> Sidecar processes run with non-root privileges (</w:t>
      </w:r>
      <w:r>
        <w:rPr>
          <w:rFonts w:ascii="Courier New" w:cs="Courier New" w:eastAsia="Courier New" w:hAnsi="Courier New"/>
          <w:b w:val="false"/>
          <w:bCs w:val="false"/>
          <w:i w:val="false"/>
          <w:iCs w:val="false"/>
          <w:sz w:val="18"/>
          <w:szCs w:val="18"/>
        </w:rPr>
        <w:t xml:space="preserve">runAsNonRoot: true</w:t>
      </w:r>
      <w:r>
        <w:rPr>
          <w:rFonts w:ascii="Times New Roman" w:cs="Times New Roman" w:eastAsia="Times New Roman" w:hAnsi="Times New Roman"/>
          <w:b w:val="false"/>
          <w:bCs w:val="false"/>
          <w:i w:val="false"/>
          <w:iCs w:val="false"/>
          <w:sz w:val="20"/>
          <w:szCs w:val="20"/>
        </w:rPr>
        <w:t xml:space="preserve">) and read-only root filesystems, restricting writable scratch space to temporary RAM (tmpfs).</w:t>
      </w:r>
    </w:p>
    <w:p>
      <w:pPr>
        <w:pStyle w:val="Body"/>
        <w:jc w:val="both"/>
      </w:pPr>
      <w:r>
        <w:rPr>
          <w:rFonts w:ascii="Times New Roman" w:cs="Times New Roman" w:eastAsia="Times New Roman" w:hAnsi="Times New Roman"/>
          <w:b w:val="false"/>
          <w:bCs w:val="false"/>
          <w:i w:val="false"/>
          <w:iCs w:val="false"/>
          <w:sz w:val="20"/>
          <w:szCs w:val="20"/>
        </w:rPr>
        <w:t xml:space="preserve">To establish the zero-copy in-pod data path, the pod specification declares a shared volume:</w:t>
      </w:r>
    </w:p>
    <w:tbl>
      <w:tblPr>
        <w:tblW w:type="dxa" w:w="5040"/>
        <w:tblBorders>
          <w:top w:val="single" w:color="000000" w:sz="4"/>
          <w:left w:val="single" w:color="000000" w:sz="4"/>
          <w:bottom w:val="single" w:color="000000" w:sz="4"/>
          <w:right w:val="single" w:color="000000" w:sz="4"/>
          <w:insideH w:val="none" w:color="FFFFFF" w:sz="0"/>
          <w:insideV w:val="none" w:color="FFFFFF" w:sz="0"/>
        </w:tblBorders>
      </w:tblPr>
      <w:tblGrid>
        <w:gridCol w:w="5040"/>
      </w:tblGrid>
      <w:tr>
        <w:trPr>
          <w:cantSplit/>
        </w:trPr>
        <w:tc>
          <w:tcPr>
            <w:tcW w:type="dxa" w:w="5040"/>
            <w:shd w:fill="F2F2F2" w:color="auto" w:val="clear"/>
            <w:tcMar>
              <w:top w:type="dxa" w:w="40"/>
              <w:left w:type="dxa" w:w="80"/>
              <w:bottom w:type="dxa" w:w="40"/>
              <w:right w:type="dxa" w:w="80"/>
            </w:tcMar>
          </w:tcPr>
          <w:p>
            <w:pPr>
              <w:pStyle w:val="Code"/>
            </w:pPr>
            <w:r>
              <w:rPr>
                <w:rFonts w:ascii="Courier New" w:cs="Courier New" w:eastAsia="Courier New" w:hAnsi="Courier New"/>
                <w:sz w:val="15"/>
                <w:szCs w:val="15"/>
              </w:rPr>
              <w:t xml:space="preserve">volumes:</w:t>
            </w:r>
          </w:p>
          <w:p>
            <w:pPr>
              <w:pStyle w:val="Code"/>
            </w:pPr>
            <w:r>
              <w:rPr>
                <w:rFonts w:ascii="Courier New" w:cs="Courier New" w:eastAsia="Courier New" w:hAnsi="Courier New"/>
                <w:sz w:val="15"/>
                <w:szCs w:val="15"/>
              </w:rPr>
              <w:t xml:space="preserve">- name: log-buffer</w:t>
            </w:r>
          </w:p>
          <w:p>
            <w:pPr>
              <w:pStyle w:val="Code"/>
            </w:pPr>
            <w:r>
              <w:rPr>
                <w:rFonts w:ascii="Courier New" w:cs="Courier New" w:eastAsia="Courier New" w:hAnsi="Courier New"/>
                <w:sz w:val="15"/>
                <w:szCs w:val="15"/>
              </w:rPr>
              <w:t xml:space="preserve">  emptyDir:</w:t>
            </w:r>
          </w:p>
          <w:p>
            <w:pPr>
              <w:pStyle w:val="Code"/>
            </w:pPr>
            <w:r>
              <w:rPr>
                <w:rFonts w:ascii="Courier New" w:cs="Courier New" w:eastAsia="Courier New" w:hAnsi="Courier New"/>
                <w:sz w:val="15"/>
                <w:szCs w:val="15"/>
              </w:rPr>
              <w:t xml:space="preserve">    medium: Memory</w:t>
            </w:r>
          </w:p>
          <w:p>
            <w:pPr>
              <w:pStyle w:val="Code"/>
            </w:pPr>
            <w:r>
              <w:rPr>
                <w:rFonts w:ascii="Courier New" w:cs="Courier New" w:eastAsia="Courier New" w:hAnsi="Courier New"/>
                <w:sz w:val="15"/>
                <w:szCs w:val="15"/>
              </w:rPr>
              <w:t xml:space="preserve">    sizeLimit: 128Mi</w:t>
            </w:r>
          </w:p>
        </w:tc>
      </w:tr>
    </w:tbl>
    <w:p>
      <w:pPr>
        <w:pStyle w:val="Caption"/>
        <w:spacing w:after="80" w:before="0"/>
      </w:pPr>
    </w:p>
    <w:p>
      <w:pPr>
        <w:pStyle w:val="Body"/>
        <w:ind w:firstLine="0"/>
        <w:jc w:val="both"/>
      </w:pPr>
      <w:r>
        <w:rPr>
          <w:rFonts w:ascii="Times New Roman" w:cs="Times New Roman" w:eastAsia="Times New Roman" w:hAnsi="Times New Roman"/>
          <w:b w:val="false"/>
          <w:bCs w:val="false"/>
          <w:i w:val="false"/>
          <w:iCs w:val="false"/>
          <w:sz w:val="20"/>
          <w:szCs w:val="20"/>
        </w:rPr>
        <w:t xml:space="preserve">The </w:t>
      </w:r>
      <w:r>
        <w:rPr>
          <w:rFonts w:ascii="Courier New" w:cs="Courier New" w:eastAsia="Courier New" w:hAnsi="Courier New"/>
          <w:b w:val="false"/>
          <w:bCs w:val="false"/>
          <w:i w:val="false"/>
          <w:iCs w:val="false"/>
          <w:sz w:val="18"/>
          <w:szCs w:val="18"/>
        </w:rPr>
        <w:t xml:space="preserve">medium: Memory</w:t>
      </w:r>
      <w:r>
        <w:rPr>
          <w:rFonts w:ascii="Times New Roman" w:cs="Times New Roman" w:eastAsia="Times New Roman" w:hAnsi="Times New Roman"/>
          <w:b w:val="false"/>
          <w:bCs w:val="false"/>
          <w:i w:val="false"/>
          <w:iCs w:val="false"/>
          <w:sz w:val="20"/>
          <w:szCs w:val="20"/>
        </w:rPr>
        <w:t xml:space="preserve"> directive mounts a volatile RAM-backed tmpfs filesystem at </w:t>
      </w:r>
      <w:r>
        <w:rPr>
          <w:rFonts w:ascii="Courier New" w:cs="Courier New" w:eastAsia="Courier New" w:hAnsi="Courier New"/>
          <w:b w:val="false"/>
          <w:bCs w:val="false"/>
          <w:i w:val="false"/>
          <w:iCs w:val="false"/>
          <w:sz w:val="18"/>
          <w:szCs w:val="18"/>
        </w:rPr>
        <w:t xml:space="preserve">/shared/</w:t>
      </w:r>
      <w:r>
        <w:rPr>
          <w:rFonts w:ascii="Times New Roman" w:cs="Times New Roman" w:eastAsia="Times New Roman" w:hAnsi="Times New Roman"/>
          <w:b w:val="false"/>
          <w:bCs w:val="false"/>
          <w:i w:val="false"/>
          <w:iCs w:val="false"/>
          <w:sz w:val="20"/>
          <w:szCs w:val="20"/>
        </w:rPr>
        <w:t xml:space="preserve"> across both containers. Telemetry streaming is supported via two interchangeable mechanisms: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POSIX FIFO Named Pipe (Streaming Mode):</w:t>
      </w:r>
      <w:r>
        <w:rPr>
          <w:rFonts w:ascii="Times New Roman" w:cs="Times New Roman" w:eastAsia="Times New Roman" w:hAnsi="Times New Roman"/>
          <w:b w:val="false"/>
          <w:bCs w:val="false"/>
          <w:i w:val="false"/>
          <w:iCs w:val="false"/>
          <w:sz w:val="20"/>
          <w:szCs w:val="20"/>
        </w:rPr>
        <w:t xml:space="preserve"> An initialization step creates a FIFO at </w:t>
      </w:r>
      <w:r>
        <w:rPr>
          <w:rFonts w:ascii="Courier New" w:cs="Courier New" w:eastAsia="Courier New" w:hAnsi="Courier New"/>
          <w:b w:val="false"/>
          <w:bCs w:val="false"/>
          <w:i w:val="false"/>
          <w:iCs w:val="false"/>
          <w:sz w:val="18"/>
          <w:szCs w:val="18"/>
        </w:rPr>
        <w:t xml:space="preserve">/shared/app.fifo</w:t>
      </w:r>
      <w:r>
        <w:rPr>
          <w:rFonts w:ascii="Times New Roman" w:cs="Times New Roman" w:eastAsia="Times New Roman" w:hAnsi="Times New Roman"/>
          <w:b w:val="false"/>
          <w:bCs w:val="false"/>
          <w:i w:val="false"/>
          <w:iCs w:val="false"/>
          <w:sz w:val="20"/>
          <w:szCs w:val="20"/>
        </w:rPr>
        <w:t xml:space="preserve">; the application streams stdout/stderr directly into this pipe using a container entrypoint wrapper (</w:t>
      </w:r>
      <w:r>
        <w:rPr>
          <w:rFonts w:ascii="Courier New" w:cs="Courier New" w:eastAsia="Courier New" w:hAnsi="Courier New"/>
          <w:b w:val="false"/>
          <w:bCs w:val="false"/>
          <w:i w:val="false"/>
          <w:iCs w:val="false"/>
          <w:sz w:val="18"/>
          <w:szCs w:val="18"/>
        </w:rPr>
        <w:t xml:space="preserve">app 2&gt;&amp;1 &gt; /shared/app.fifo</w:t>
      </w:r>
      <w:r>
        <w:rPr>
          <w:rFonts w:ascii="Times New Roman" w:cs="Times New Roman" w:eastAsia="Times New Roman" w:hAnsi="Times New Roman"/>
          <w:b w:val="false"/>
          <w:bCs w:val="false"/>
          <w:i w:val="false"/>
          <w:iCs w:val="false"/>
          <w:sz w:val="20"/>
          <w:szCs w:val="20"/>
        </w:rPr>
        <w:t xml:space="preserve">) or a framework appender (Logback, Winston, Log4j2). The LogShield sidecar reads continuously from the FIFO descriptor, ensuring zero file accumulation in RAM.</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Shared Buffer with Inode Tracking (File Mode):</w:t>
      </w:r>
      <w:r>
        <w:rPr>
          <w:rFonts w:ascii="Times New Roman" w:cs="Times New Roman" w:eastAsia="Times New Roman" w:hAnsi="Times New Roman"/>
          <w:b w:val="false"/>
          <w:bCs w:val="false"/>
          <w:i w:val="false"/>
          <w:iCs w:val="false"/>
          <w:sz w:val="20"/>
          <w:szCs w:val="20"/>
        </w:rPr>
        <w:t xml:space="preserve"> The application appends to </w:t>
      </w:r>
      <w:r>
        <w:rPr>
          <w:rFonts w:ascii="Courier New" w:cs="Courier New" w:eastAsia="Courier New" w:hAnsi="Courier New"/>
          <w:b w:val="false"/>
          <w:bCs w:val="false"/>
          <w:i w:val="false"/>
          <w:iCs w:val="false"/>
          <w:sz w:val="18"/>
          <w:szCs w:val="18"/>
        </w:rPr>
        <w:t xml:space="preserve">/shared/app.log</w:t>
      </w:r>
      <w:r>
        <w:rPr>
          <w:rFonts w:ascii="Times New Roman" w:cs="Times New Roman" w:eastAsia="Times New Roman" w:hAnsi="Times New Roman"/>
          <w:b w:val="false"/>
          <w:bCs w:val="false"/>
          <w:i w:val="false"/>
          <w:iCs w:val="false"/>
          <w:sz w:val="20"/>
          <w:szCs w:val="20"/>
        </w:rPr>
        <w:t xml:space="preserve">; to handle log rotation and prevent truncation errors, the sidecar monitors file inode numbers (</w:t>
      </w:r>
      <w:r>
        <w:rPr>
          <w:rFonts w:ascii="Courier New" w:cs="Courier New" w:eastAsia="Courier New" w:hAnsi="Courier New"/>
          <w:b w:val="false"/>
          <w:bCs w:val="false"/>
          <w:i w:val="false"/>
          <w:iCs w:val="false"/>
          <w:sz w:val="18"/>
          <w:szCs w:val="18"/>
        </w:rPr>
        <w:t xml:space="preserve">st_ino</w:t>
      </w:r>
      <w:r>
        <w:rPr>
          <w:rFonts w:ascii="Times New Roman" w:cs="Times New Roman" w:eastAsia="Times New Roman" w:hAnsi="Times New Roman"/>
          <w:b w:val="false"/>
          <w:bCs w:val="false"/>
          <w:i w:val="false"/>
          <w:iCs w:val="false"/>
          <w:sz w:val="20"/>
          <w:szCs w:val="20"/>
        </w:rPr>
        <w:t xml:space="preserve">) and byte offsets, detecting </w:t>
      </w:r>
      <w:r>
        <w:rPr>
          <w:rFonts w:ascii="Courier New" w:cs="Courier New" w:eastAsia="Courier New" w:hAnsi="Courier New"/>
          <w:b w:val="false"/>
          <w:bCs w:val="false"/>
          <w:i w:val="false"/>
          <w:iCs w:val="false"/>
          <w:sz w:val="18"/>
          <w:szCs w:val="18"/>
        </w:rPr>
        <w:t xml:space="preserve">copytruncate</w:t>
      </w:r>
      <w:r>
        <w:rPr>
          <w:rFonts w:ascii="Times New Roman" w:cs="Times New Roman" w:eastAsia="Times New Roman" w:hAnsi="Times New Roman"/>
          <w:b w:val="false"/>
          <w:bCs w:val="false"/>
          <w:i w:val="false"/>
          <w:iCs w:val="false"/>
          <w:sz w:val="20"/>
          <w:szCs w:val="20"/>
        </w:rPr>
        <w:t xml:space="preserve"> rotations seamlessly. Descriptors are polled asynchronously by the sidecar.</w:t>
      </w:r>
    </w:p>
    <w:p>
      <w:pPr>
        <w:pStyle w:val="Body"/>
        <w:ind w:firstLine="0"/>
        <w:jc w:val="both"/>
      </w:pPr>
      <w:r>
        <w:rPr>
          <w:rFonts w:ascii="Times New Roman" w:cs="Times New Roman" w:eastAsia="Times New Roman" w:hAnsi="Times New Roman"/>
          <w:b w:val="false"/>
          <w:bCs w:val="false"/>
          <w:i w:val="false"/>
          <w:iCs w:val="false"/>
          <w:sz w:val="20"/>
          <w:szCs w:val="20"/>
        </w:rPr>
        <w:t xml:space="preserve">Non-newline-terminated partial writes are buffered in an internal per-stream buffer capped at 8 KB; if a line exceeds 64 KB, it is deterministically segmented into chunks to prevent memory-exhaustion Denial-of-Service attacks.</w:t>
      </w:r>
    </w:p>
    <w:p>
      <w:pPr>
        <w:pStyle w:val="Heading2"/>
        <w:pStyle w:val="Heading2"/>
      </w:pPr>
      <w:r>
        <w:rPr>
          <w:rFonts w:ascii="Times New Roman" w:cs="Times New Roman" w:eastAsia="Times New Roman" w:hAnsi="Times New Roman"/>
          <w:b w:val="false"/>
          <w:bCs w:val="false"/>
          <w:i/>
          <w:iCs/>
          <w:sz w:val="20"/>
          <w:szCs w:val="20"/>
        </w:rPr>
        <w:t xml:space="preserve">B. The Six-Stage Detection Pipeline</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detection pipeline operates in six sequential stages (Fig. 2):</w:t>
      </w:r>
    </w:p>
    <w:p>
      <w:pPr>
        <w:keepNext/>
        <w:spacing w:after="40" w:before="100"/>
        <w:jc w:val="center"/>
      </w:pPr>
      <w:r>
        <w:drawing>
          <wp:inline distT="0" distB="0" distL="0" distR="0">
            <wp:extent cx="3105150" cy="1095375"/>
            <wp:effectExtent t="0" r="0" b="0" l="0"/>
            <wp:docPr id="1" name="Fig2" descr="The LogShield six-stage detection pipeline: ingestion, multi-line normalization and sliding-window Token Fusion (Stage 1), Aho-Corasick candidate keyword filtering (Stage 2), dynamic context scoring (Stage 3), layered pattern classification (Stage 4), 6-factor SCS scoring (Stage 5), and tri-state decision gating (Stage 6)."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095375"/>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2. The LogShield six-stage detection pipeline: ingestion, multi-line normalization and sliding-window Token Fusion (Stage 1), Aho-Corasick candidate keyword filtering (Stage 2), dynamic context scoring (Stage 3), layered pattern classification (Stage 4), 6-factor SCS scoring (Stage 5), and tri-state decision gating (Stage 6).</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1: Preprocessor, Token Fusion, and Multi-Line Buffer.</w:t>
      </w:r>
      <w:r>
        <w:rPr>
          <w:rFonts w:ascii="Times New Roman" w:cs="Times New Roman" w:eastAsia="Times New Roman" w:hAnsi="Times New Roman"/>
          <w:b w:val="false"/>
          <w:bCs w:val="false"/>
          <w:i w:val="false"/>
          <w:iCs w:val="false"/>
          <w:sz w:val="20"/>
          <w:szCs w:val="20"/>
        </w:rPr>
        <w:t xml:space="preserve"> Input lines are normalized:</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JSON Flattening:</w:t>
      </w:r>
      <w:r>
        <w:rPr>
          <w:rFonts w:ascii="Times New Roman" w:cs="Times New Roman" w:eastAsia="Times New Roman" w:hAnsi="Times New Roman"/>
          <w:b w:val="false"/>
          <w:bCs w:val="false"/>
          <w:i w:val="false"/>
          <w:iCs w:val="false"/>
          <w:sz w:val="20"/>
          <w:szCs w:val="20"/>
        </w:rPr>
        <w:t xml:space="preserve"> Ordered JSON logs are read into flat key-value pairs, preserving associations between keys (e.g., </w:t>
      </w:r>
      <w:r>
        <w:rPr>
          <w:rFonts w:ascii="Courier New" w:cs="Courier New" w:eastAsia="Courier New" w:hAnsi="Courier New"/>
          <w:b w:val="false"/>
          <w:bCs w:val="false"/>
          <w:i w:val="false"/>
          <w:iCs w:val="false"/>
          <w:sz w:val="18"/>
          <w:szCs w:val="18"/>
        </w:rPr>
        <w:t xml:space="preserve">client_secret</w:t>
      </w:r>
      <w:r>
        <w:rPr>
          <w:rFonts w:ascii="Times New Roman" w:cs="Times New Roman" w:eastAsia="Times New Roman" w:hAnsi="Times New Roman"/>
          <w:b w:val="false"/>
          <w:bCs w:val="false"/>
          <w:i w:val="false"/>
          <w:iCs w:val="false"/>
          <w:sz w:val="20"/>
          <w:szCs w:val="20"/>
        </w:rPr>
        <w:t xml:space="preserve">) and values.</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Adaptive Token Window Fusion:</w:t>
      </w:r>
      <w:r>
        <w:rPr>
          <w:rFonts w:ascii="Times New Roman" w:cs="Times New Roman" w:eastAsia="Times New Roman" w:hAnsi="Times New Roman"/>
          <w:b w:val="false"/>
          <w:bCs w:val="false"/>
          <w:i w:val="false"/>
          <w:iCs w:val="false"/>
          <w:sz w:val="20"/>
          <w:szCs w:val="20"/>
        </w:rPr>
        <w:t xml:space="preserve"> Evaluates bigrams and trigrams around delimiter breaks (whitespace, hyphens, slashes) within key-value assignments to reconstruct split credentials (e.g., </w:t>
      </w:r>
      <w:r>
        <w:rPr>
          <w:rFonts w:ascii="Courier New" w:cs="Courier New" w:eastAsia="Courier New" w:hAnsi="Courier New"/>
          <w:b w:val="false"/>
          <w:bCs w:val="false"/>
          <w:i w:val="false"/>
          <w:iCs w:val="false"/>
          <w:sz w:val="18"/>
          <w:szCs w:val="18"/>
        </w:rPr>
        <w:t xml:space="preserve">AKIA IOSFODNN7EXAMPLE</w:t>
      </w:r>
      <w:r>
        <w:rPr>
          <w:rFonts w:ascii="Times New Roman" w:cs="Times New Roman" w:eastAsia="Times New Roman" w:hAnsi="Times New Roman"/>
          <w:b w:val="false"/>
          <w:bCs w:val="false"/>
          <w:i w:val="false"/>
          <w:iCs w:val="false"/>
          <w:sz w:val="20"/>
          <w:szCs w:val="20"/>
        </w:rPr>
        <w:t xml:space="preserve"> → </w:t>
      </w:r>
      <w:r>
        <w:rPr>
          <w:rFonts w:ascii="Courier New" w:cs="Courier New" w:eastAsia="Courier New" w:hAnsi="Courier New"/>
          <w:b w:val="false"/>
          <w:bCs w:val="false"/>
          <w:i w:val="false"/>
          <w:iCs w:val="false"/>
          <w:sz w:val="18"/>
          <w:szCs w:val="18"/>
        </w:rPr>
        <w:t xml:space="preserve">AKIAIOSFODNN7EXAMPLE</w:t>
      </w:r>
      <w:r>
        <w:rPr>
          <w:rFonts w:ascii="Times New Roman" w:cs="Times New Roman" w:eastAsia="Times New Roman" w:hAnsi="Times New Roman"/>
          <w:b w:val="false"/>
          <w:bCs w:val="false"/>
          <w:i w:val="false"/>
          <w:iCs w:val="false"/>
          <w:sz w:val="20"/>
          <w:szCs w:val="20"/>
        </w:rPr>
        <w:t xml:space="preserve">) while tracking the original </w:t>
      </w:r>
      <w:r>
        <w:rPr>
          <w:rFonts w:ascii="Courier New" w:cs="Courier New" w:eastAsia="Courier New" w:hAnsi="Courier New"/>
          <w:b w:val="false"/>
          <w:bCs w:val="false"/>
          <w:i w:val="false"/>
          <w:iCs w:val="false"/>
          <w:sz w:val="18"/>
          <w:szCs w:val="18"/>
        </w:rPr>
        <w:t xml:space="preserve">raw_slice</w:t>
      </w:r>
      <w:r>
        <w:rPr>
          <w:rFonts w:ascii="Times New Roman" w:cs="Times New Roman" w:eastAsia="Times New Roman" w:hAnsi="Times New Roman"/>
          <w:b w:val="false"/>
          <w:bCs w:val="false"/>
          <w:i w:val="false"/>
          <w:iCs w:val="false"/>
          <w:sz w:val="20"/>
          <w:szCs w:val="20"/>
        </w:rPr>
        <w:t xml:space="preserve"> for precise in-place string substitution.</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Hex Normalization Engine:</w:t>
      </w:r>
      <w:r>
        <w:rPr>
          <w:rFonts w:ascii="Times New Roman" w:cs="Times New Roman" w:eastAsia="Times New Roman" w:hAnsi="Times New Roman"/>
          <w:b w:val="false"/>
          <w:bCs w:val="false"/>
          <w:i w:val="false"/>
          <w:iCs w:val="false"/>
          <w:sz w:val="20"/>
          <w:szCs w:val="20"/>
        </w:rPr>
        <w:t xml:space="preserve"> Detects contiguous byte-level escape sequences (</w:t>
      </w:r>
      <w:r>
        <w:rPr>
          <w:rFonts w:ascii="Courier New" w:cs="Courier New" w:eastAsia="Courier New" w:hAnsi="Courier New"/>
          <w:b w:val="false"/>
          <w:bCs w:val="false"/>
          <w:i w:val="false"/>
          <w:iCs w:val="false"/>
          <w:sz w:val="18"/>
          <w:szCs w:val="18"/>
        </w:rPr>
        <w:t xml:space="preserve">\x41\x4b...</w:t>
      </w:r>
      <w:r>
        <w:rPr>
          <w:rFonts w:ascii="Times New Roman" w:cs="Times New Roman" w:eastAsia="Times New Roman" w:hAnsi="Times New Roman"/>
          <w:b w:val="false"/>
          <w:bCs w:val="false"/>
          <w:i w:val="false"/>
          <w:iCs w:val="false"/>
          <w:sz w:val="20"/>
          <w:szCs w:val="20"/>
        </w:rPr>
        <w:t xml:space="preserve">) and normalizes them to raw ASCII strings for classifier inspection.</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Sub-Token Base64 Unnesting:</w:t>
      </w:r>
      <w:r>
        <w:rPr>
          <w:rFonts w:ascii="Times New Roman" w:cs="Times New Roman" w:eastAsia="Times New Roman" w:hAnsi="Times New Roman"/>
          <w:b w:val="false"/>
          <w:bCs w:val="false"/>
          <w:i w:val="false"/>
          <w:iCs w:val="false"/>
          <w:sz w:val="20"/>
          <w:szCs w:val="20"/>
        </w:rPr>
        <w:t xml:space="preserve"> Extracts and decodes embedded credentials from HTTP </w:t>
      </w:r>
      <w:r>
        <w:rPr>
          <w:rFonts w:ascii="Courier New" w:cs="Courier New" w:eastAsia="Courier New" w:hAnsi="Courier New"/>
          <w:b w:val="false"/>
          <w:bCs w:val="false"/>
          <w:i w:val="false"/>
          <w:iCs w:val="false"/>
          <w:sz w:val="18"/>
          <w:szCs w:val="18"/>
        </w:rPr>
        <w:t xml:space="preserve">Authorization: Basic</w:t>
      </w:r>
      <w:r>
        <w:rPr>
          <w:rFonts w:ascii="Times New Roman" w:cs="Times New Roman" w:eastAsia="Times New Roman" w:hAnsi="Times New Roman"/>
          <w:b w:val="false"/>
          <w:bCs w:val="false"/>
          <w:i w:val="false"/>
          <w:iCs w:val="false"/>
          <w:sz w:val="20"/>
          <w:szCs w:val="20"/>
        </w:rPr>
        <w:t xml:space="preserve"> and </w:t>
      </w:r>
      <w:r>
        <w:rPr>
          <w:rFonts w:ascii="Courier New" w:cs="Courier New" w:eastAsia="Courier New" w:hAnsi="Courier New"/>
          <w:b w:val="false"/>
          <w:bCs w:val="false"/>
          <w:i w:val="false"/>
          <w:iCs w:val="false"/>
          <w:sz w:val="18"/>
          <w:szCs w:val="18"/>
        </w:rPr>
        <w:t xml:space="preserve">Bearer</w:t>
      </w:r>
      <w:r>
        <w:rPr>
          <w:rFonts w:ascii="Times New Roman" w:cs="Times New Roman" w:eastAsia="Times New Roman" w:hAnsi="Times New Roman"/>
          <w:b w:val="false"/>
          <w:bCs w:val="false"/>
          <w:i w:val="false"/>
          <w:iCs w:val="false"/>
          <w:sz w:val="20"/>
          <w:szCs w:val="20"/>
        </w:rPr>
        <w:t xml:space="preserve"> headers.</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Block Buffering:</w:t>
      </w:r>
      <w:r>
        <w:rPr>
          <w:rFonts w:ascii="Times New Roman" w:cs="Times New Roman" w:eastAsia="Times New Roman" w:hAnsi="Times New Roman"/>
          <w:b w:val="false"/>
          <w:bCs w:val="false"/>
          <w:i w:val="false"/>
          <w:iCs w:val="false"/>
          <w:sz w:val="20"/>
          <w:szCs w:val="20"/>
        </w:rPr>
        <w:t xml:space="preserve"> Multi-line cryptographic blocks (such as PEM RSA private keys) delimited by </w:t>
      </w:r>
      <w:r>
        <w:rPr>
          <w:rFonts w:ascii="Courier New" w:cs="Courier New" w:eastAsia="Courier New" w:hAnsi="Courier New"/>
          <w:b w:val="false"/>
          <w:bCs w:val="false"/>
          <w:i w:val="false"/>
          <w:iCs w:val="false"/>
          <w:sz w:val="18"/>
          <w:szCs w:val="18"/>
        </w:rPr>
        <w:t xml:space="preserve">BEGIN</w:t>
      </w:r>
      <w:r>
        <w:rPr>
          <w:rFonts w:ascii="Times New Roman" w:cs="Times New Roman" w:eastAsia="Times New Roman" w:hAnsi="Times New Roman"/>
          <w:b w:val="false"/>
          <w:bCs w:val="false"/>
          <w:i w:val="false"/>
          <w:iCs w:val="false"/>
          <w:sz w:val="20"/>
          <w:szCs w:val="20"/>
        </w:rPr>
        <w:t xml:space="preserve"> and </w:t>
      </w:r>
      <w:r>
        <w:rPr>
          <w:rFonts w:ascii="Courier New" w:cs="Courier New" w:eastAsia="Courier New" w:hAnsi="Courier New"/>
          <w:b w:val="false"/>
          <w:bCs w:val="false"/>
          <w:i w:val="false"/>
          <w:iCs w:val="false"/>
          <w:sz w:val="18"/>
          <w:szCs w:val="18"/>
        </w:rPr>
        <w:t xml:space="preserve">END</w:t>
      </w:r>
      <w:r>
        <w:rPr>
          <w:rFonts w:ascii="Times New Roman" w:cs="Times New Roman" w:eastAsia="Times New Roman" w:hAnsi="Times New Roman"/>
          <w:b w:val="false"/>
          <w:bCs w:val="false"/>
          <w:i w:val="false"/>
          <w:iCs w:val="false"/>
          <w:sz w:val="20"/>
          <w:szCs w:val="20"/>
        </w:rPr>
        <w:t xml:space="preserve"> are gathered into a single evaluation block.</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Buffer Length Guards:</w:t>
      </w:r>
      <w:r>
        <w:rPr>
          <w:rFonts w:ascii="Times New Roman" w:cs="Times New Roman" w:eastAsia="Times New Roman" w:hAnsi="Times New Roman"/>
          <w:b w:val="false"/>
          <w:bCs w:val="false"/>
          <w:i w:val="false"/>
          <w:iCs w:val="false"/>
          <w:sz w:val="20"/>
          <w:szCs w:val="20"/>
        </w:rPr>
        <w:t xml:space="preserve"> Lines longer than 64 KB are segmented to prevent memory exhaustion attacks.</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2: Candidate Keyword Finder (Aho-Corasick).</w:t>
      </w:r>
      <w:r>
        <w:rPr>
          <w:rFonts w:ascii="Times New Roman" w:cs="Times New Roman" w:eastAsia="Times New Roman" w:hAnsi="Times New Roman"/>
          <w:b w:val="false"/>
          <w:bCs w:val="false"/>
          <w:i w:val="false"/>
          <w:iCs w:val="false"/>
          <w:sz w:val="20"/>
          <w:szCs w:val="20"/>
        </w:rPr>
        <w:t xml:space="preserve"> Evaluating hundreds of regular expressions on every benign line would hold up logging throughput. In Stage 2, LogShield scans lines using the Aho-Corasick automaton [32] built over dictionary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keys</w:t>
      </w:r>
      <w:r>
        <w:rPr>
          <w:rFonts w:ascii="Times New Roman" w:cs="Times New Roman" w:eastAsia="Times New Roman" w:hAnsi="Times New Roman"/>
          <w:b w:val="false"/>
          <w:bCs w:val="false"/>
          <w:i w:val="false"/>
          <w:iCs w:val="false"/>
          <w:sz w:val="20"/>
          <w:szCs w:val="20"/>
        </w:rPr>
        <w:t xml:space="preserve"> containing 2,000+ sensitive keywords and prefixes (e.g., </w:t>
      </w:r>
      <w:r>
        <w:rPr>
          <w:rFonts w:ascii="Courier New" w:cs="Courier New" w:eastAsia="Courier New" w:hAnsi="Courier New"/>
          <w:b w:val="false"/>
          <w:bCs w:val="false"/>
          <w:i w:val="false"/>
          <w:iCs w:val="false"/>
          <w:sz w:val="18"/>
          <w:szCs w:val="18"/>
        </w:rPr>
        <w:t xml:space="preserve">AKIA</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sk_live</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ghp_</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password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token</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bearer</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secret</w:t>
      </w:r>
      <w:r>
        <w:rPr>
          <w:rFonts w:ascii="Times New Roman" w:cs="Times New Roman" w:eastAsia="Times New Roman" w:hAnsi="Times New Roman"/>
          <w:b w:val="false"/>
          <w:bCs w:val="false"/>
          <w:i w:val="false"/>
          <w:iCs w:val="false"/>
          <w:sz w:val="20"/>
          <w:szCs w:val="20"/>
        </w:rPr>
        <w:t xml:space="preserve">). In production traces, </w:t>
      </w:r>
      <w:r>
        <w:rPr>
          <w:rFonts w:ascii="Times New Roman" w:cs="Times New Roman" w:eastAsia="Times New Roman" w:hAnsi="Times New Roman"/>
          <w:b/>
          <w:bCs/>
          <w:i w:val="false"/>
          <w:iCs w:val="false"/>
          <w:sz w:val="20"/>
          <w:szCs w:val="20"/>
        </w:rPr>
        <w:t xml:space="preserve">65% of benign lines exit at Stage 2 in under 0.006 ms</w:t>
      </w:r>
      <w:r>
        <w:rPr>
          <w:rFonts w:ascii="Times New Roman" w:cs="Times New Roman" w:eastAsia="Times New Roman" w:hAnsi="Times New Roman"/>
          <w:b w:val="false"/>
          <w:bCs w:val="false"/>
          <w:i w:val="false"/>
          <w:iCs w:val="false"/>
          <w:sz w:val="20"/>
          <w:szCs w:val="20"/>
        </w:rPr>
        <w:t xml:space="preserve">. If the automaton matches zero keywords and no active evasion token was extracted in Stage 1, the line is classified as benign and forwarded directly to stdout.</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3: Context Engine.</w:t>
      </w:r>
      <w:r>
        <w:rPr>
          <w:rFonts w:ascii="Times New Roman" w:cs="Times New Roman" w:eastAsia="Times New Roman" w:hAnsi="Times New Roman"/>
          <w:b w:val="false"/>
          <w:bCs w:val="false"/>
          <w:i w:val="false"/>
          <w:iCs w:val="false"/>
          <w:sz w:val="20"/>
          <w:szCs w:val="20"/>
        </w:rPr>
        <w:t xml:space="preserve"> Candidate lines surviving Stage 2 pass to the Context Engine, which evaluates surrounding text:</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Positive Signals:</w:t>
      </w:r>
      <w:r>
        <w:rPr>
          <w:rFonts w:ascii="Times New Roman" w:cs="Times New Roman" w:eastAsia="Times New Roman" w:hAnsi="Times New Roman"/>
          <w:b w:val="false"/>
          <w:bCs w:val="false"/>
          <w:i w:val="false"/>
          <w:iCs w:val="false"/>
          <w:sz w:val="20"/>
          <w:szCs w:val="20"/>
        </w:rPr>
        <w:t xml:space="preserve"> Proximity to assignment operators and sensitive variable names (</w:t>
      </w:r>
      <w:r>
        <w:rPr>
          <w:rFonts w:ascii="Courier New" w:cs="Courier New" w:eastAsia="Courier New" w:hAnsi="Courier New"/>
          <w:b w:val="false"/>
          <w:bCs w:val="false"/>
          <w:i w:val="false"/>
          <w:iCs w:val="false"/>
          <w:sz w:val="18"/>
          <w:szCs w:val="18"/>
        </w:rPr>
        <w:t xml:space="preserve">password=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api_key=</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secret:</w:t>
      </w:r>
      <w:r>
        <w:rPr>
          <w:rFonts w:ascii="Times New Roman" w:cs="Times New Roman" w:eastAsia="Times New Roman" w:hAnsi="Times New Roman"/>
          <w:b w:val="false"/>
          <w:bCs w:val="false"/>
          <w:i w:val="false"/>
          <w:iCs w:val="false"/>
          <w:sz w:val="20"/>
          <w:szCs w:val="20"/>
        </w:rPr>
        <w:t xml:space="preserve">).</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Negative Signals:</w:t>
      </w:r>
      <w:r>
        <w:rPr>
          <w:rFonts w:ascii="Times New Roman" w:cs="Times New Roman" w:eastAsia="Times New Roman" w:hAnsi="Times New Roman"/>
          <w:b w:val="false"/>
          <w:bCs w:val="false"/>
          <w:i w:val="false"/>
          <w:iCs w:val="false"/>
          <w:sz w:val="20"/>
          <w:szCs w:val="20"/>
        </w:rPr>
        <w:t xml:space="preserve"> Proximity to benign identifiers (</w:t>
      </w:r>
      <w:r>
        <w:rPr>
          <w:rFonts w:ascii="Courier New" w:cs="Courier New" w:eastAsia="Courier New" w:hAnsi="Courier New"/>
          <w:b w:val="false"/>
          <w:bCs w:val="false"/>
          <w:i w:val="false"/>
          <w:iCs w:val="false"/>
          <w:sz w:val="18"/>
          <w:szCs w:val="18"/>
        </w:rPr>
        <w:t xml:space="preserve">trace_id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span_id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request_id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uuid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etag</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checksum</w:t>
      </w:r>
      <w:r>
        <w:rPr>
          <w:rFonts w:ascii="Times New Roman" w:cs="Times New Roman" w:eastAsia="Times New Roman" w:hAnsi="Times New Roman"/>
          <w:b w:val="false"/>
          <w:bCs w:val="false"/>
          <w:i w:val="false"/>
          <w:iCs w:val="false"/>
          <w:sz w:val="20"/>
          <w:szCs w:val="20"/>
        </w:rPr>
        <w:t xml:space="preserve">).</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Log Level Weight:</w:t>
      </w:r>
      <w:r>
        <w:rPr>
          <w:rFonts w:ascii="Times New Roman" w:cs="Times New Roman" w:eastAsia="Times New Roman" w:hAnsi="Times New Roman"/>
          <w:b w:val="false"/>
          <w:bCs w:val="false"/>
          <w:i w:val="false"/>
          <w:iCs w:val="false"/>
          <w:sz w:val="20"/>
          <w:szCs w:val="20"/>
        </w:rPr>
        <w:t xml:space="preserve"> Telemetry tagged with </w:t>
      </w:r>
      <w:r>
        <w:rPr>
          <w:rFonts w:ascii="Courier New" w:cs="Courier New" w:eastAsia="Courier New" w:hAnsi="Courier New"/>
          <w:b w:val="false"/>
          <w:bCs w:val="false"/>
          <w:i w:val="false"/>
          <w:iCs w:val="false"/>
          <w:sz w:val="18"/>
          <w:szCs w:val="18"/>
        </w:rPr>
        <w:t xml:space="preserve">DEBUG</w:t>
      </w:r>
      <w:r>
        <w:rPr>
          <w:rFonts w:ascii="Times New Roman" w:cs="Times New Roman" w:eastAsia="Times New Roman" w:hAnsi="Times New Roman"/>
          <w:b w:val="false"/>
          <w:bCs w:val="false"/>
          <w:i w:val="false"/>
          <w:iCs w:val="false"/>
          <w:sz w:val="20"/>
          <w:szCs w:val="20"/>
        </w:rPr>
        <w:t xml:space="preserve"> or </w:t>
      </w:r>
      <w:r>
        <w:rPr>
          <w:rFonts w:ascii="Courier New" w:cs="Courier New" w:eastAsia="Courier New" w:hAnsi="Courier New"/>
          <w:b w:val="false"/>
          <w:bCs w:val="false"/>
          <w:i w:val="false"/>
          <w:iCs w:val="false"/>
          <w:sz w:val="18"/>
          <w:szCs w:val="18"/>
        </w:rPr>
        <w:t xml:space="preserve">TRACE</w:t>
      </w:r>
      <w:r>
        <w:rPr>
          <w:rFonts w:ascii="Times New Roman" w:cs="Times New Roman" w:eastAsia="Times New Roman" w:hAnsi="Times New Roman"/>
          <w:b w:val="false"/>
          <w:bCs w:val="false"/>
          <w:i w:val="false"/>
          <w:iCs w:val="false"/>
          <w:sz w:val="20"/>
          <w:szCs w:val="20"/>
        </w:rPr>
        <w:t xml:space="preserve"> receives higher baseline suspicion than </w:t>
      </w:r>
      <w:r>
        <w:rPr>
          <w:rFonts w:ascii="Courier New" w:cs="Courier New" w:eastAsia="Courier New" w:hAnsi="Courier New"/>
          <w:b w:val="false"/>
          <w:bCs w:val="false"/>
          <w:i w:val="false"/>
          <w:iCs w:val="false"/>
          <w:sz w:val="18"/>
          <w:szCs w:val="18"/>
        </w:rPr>
        <w:t xml:space="preserve">INFO</w:t>
      </w:r>
      <w:r>
        <w:rPr>
          <w:rFonts w:ascii="Times New Roman" w:cs="Times New Roman" w:eastAsia="Times New Roman" w:hAnsi="Times New Roman"/>
          <w:b w:val="false"/>
          <w:bCs w:val="false"/>
          <w:i w:val="false"/>
          <w:iCs w:val="false"/>
          <w:sz w:val="20"/>
          <w:szCs w:val="20"/>
        </w:rPr>
        <w:t xml:space="preserve"> or </w:t>
      </w:r>
      <w:r>
        <w:rPr>
          <w:rFonts w:ascii="Courier New" w:cs="Courier New" w:eastAsia="Courier New" w:hAnsi="Courier New"/>
          <w:b w:val="false"/>
          <w:bCs w:val="false"/>
          <w:i w:val="false"/>
          <w:iCs w:val="false"/>
          <w:sz w:val="18"/>
          <w:szCs w:val="18"/>
        </w:rPr>
        <w:t xml:space="preserve">WARN</w:t>
      </w:r>
      <w:r>
        <w:rPr>
          <w:rFonts w:ascii="Times New Roman" w:cs="Times New Roman" w:eastAsia="Times New Roman" w:hAnsi="Times New Roman"/>
          <w:b w:val="false"/>
          <w:bCs w:val="false"/>
          <w:i w:val="false"/>
          <w:iCs w:val="false"/>
          <w:sz w:val="20"/>
          <w:szCs w:val="20"/>
        </w:rPr>
        <w:t xml:space="preserve">.</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engine produces a continuous context metric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ctx</w:t>
      </w:r>
      <w:r>
        <w:rPr>
          <w:rFonts w:ascii="Times New Roman" w:cs="Times New Roman" w:eastAsia="Times New Roman" w:hAnsi="Times New Roman"/>
          <w:b w:val="false"/>
          <w:bCs w:val="false"/>
          <w:i w:val="false"/>
          <w:iCs w:val="false"/>
          <w:sz w:val="20"/>
          <w:szCs w:val="20"/>
        </w:rPr>
        <w:t xml:space="preserve"> ∈ [0.0, 1.0].</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4: Hierarchical Secret Classifier.</w:t>
      </w:r>
      <w:r>
        <w:rPr>
          <w:rFonts w:ascii="Times New Roman" w:cs="Times New Roman" w:eastAsia="Times New Roman" w:hAnsi="Times New Roman"/>
          <w:b w:val="false"/>
          <w:bCs w:val="false"/>
          <w:i w:val="false"/>
          <w:iCs w:val="false"/>
          <w:sz w:val="20"/>
          <w:szCs w:val="20"/>
        </w:rPr>
        <w:t xml:space="preserve"> Candidates are evaluated against </w:t>
      </w:r>
      <w:r>
        <w:rPr>
          <w:rFonts w:ascii="Times New Roman" w:cs="Times New Roman" w:eastAsia="Times New Roman" w:hAnsi="Times New Roman"/>
          <w:b/>
          <w:bCs/>
          <w:i w:val="false"/>
          <w:iCs w:val="false"/>
          <w:sz w:val="20"/>
          <w:szCs w:val="20"/>
        </w:rPr>
        <w:t xml:space="preserve">1,361+ compiled patterns</w:t>
      </w:r>
      <w:r>
        <w:rPr>
          <w:rFonts w:ascii="Times New Roman" w:cs="Times New Roman" w:eastAsia="Times New Roman" w:hAnsi="Times New Roman"/>
          <w:b w:val="false"/>
          <w:bCs w:val="false"/>
          <w:i w:val="false"/>
          <w:iCs w:val="false"/>
          <w:sz w:val="20"/>
          <w:szCs w:val="20"/>
        </w:rPr>
        <w:t xml:space="preserve">:</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Pass 1 (600+ Specific Detectors):</w:t>
      </w:r>
      <w:r>
        <w:rPr>
          <w:rFonts w:ascii="Times New Roman" w:cs="Times New Roman" w:eastAsia="Times New Roman" w:hAnsi="Times New Roman"/>
          <w:b w:val="false"/>
          <w:bCs w:val="false"/>
          <w:i w:val="false"/>
          <w:iCs w:val="false"/>
          <w:sz w:val="20"/>
          <w:szCs w:val="20"/>
        </w:rPr>
        <w:t xml:space="preserve"> High-precision structural expressions targeting particular cloud, AI, database, and payment platforms (e.g., AWS IAM keys, OpenAI API keys, Slack Webhooks, GitHub PATs, Stripe Secret Keys).</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Pass 2 (755 SecretBench Patterns):</w:t>
      </w:r>
      <w:r>
        <w:rPr>
          <w:rFonts w:ascii="Times New Roman" w:cs="Times New Roman" w:eastAsia="Times New Roman" w:hAnsi="Times New Roman"/>
          <w:b w:val="false"/>
          <w:bCs w:val="false"/>
          <w:i w:val="false"/>
          <w:iCs w:val="false"/>
          <w:sz w:val="20"/>
          <w:szCs w:val="20"/>
        </w:rPr>
        <w:t xml:space="preserve"> Curated patterns from SecretBench [20], anchored to vendor context windows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vertAlign w:val="subscript"/>
        </w:rPr>
        <w:t xml:space="preserve">ctx</w:t>
      </w:r>
      <w:r>
        <w:rPr>
          <w:rFonts w:ascii="Times New Roman" w:cs="Times New Roman" w:eastAsia="Times New Roman" w:hAnsi="Times New Roman"/>
          <w:b w:val="false"/>
          <w:bCs w:val="false"/>
          <w:i w:val="false"/>
          <w:iCs w:val="false"/>
          <w:sz w:val="20"/>
          <w:szCs w:val="20"/>
        </w:rPr>
        <w:t xml:space="preserve"> ≤ 40 chars).</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Pass 3 (6 Context-Gated High-FP Patterns):</w:t>
      </w:r>
      <w:r>
        <w:rPr>
          <w:rFonts w:ascii="Times New Roman" w:cs="Times New Roman" w:eastAsia="Times New Roman" w:hAnsi="Times New Roman"/>
          <w:b w:val="false"/>
          <w:bCs w:val="false"/>
          <w:i w:val="false"/>
          <w:iCs w:val="false"/>
          <w:sz w:val="20"/>
          <w:szCs w:val="20"/>
        </w:rPr>
        <w:t xml:space="preserve"> Generic patterns flagged by SecretBench as prone to false positives (e.g., raw 32-character hex strings, generic password assignments); these patterns run only when Stage 3 yields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ctx</w:t>
      </w:r>
      <w:r>
        <w:rPr>
          <w:rFonts w:ascii="Times New Roman" w:cs="Times New Roman" w:eastAsia="Times New Roman" w:hAnsi="Times New Roman"/>
          <w:b w:val="false"/>
          <w:bCs w:val="false"/>
          <w:i w:val="false"/>
          <w:iCs w:val="false"/>
          <w:sz w:val="20"/>
          <w:szCs w:val="20"/>
        </w:rPr>
        <w:t xml:space="preserve"> &gt; 0.5, preventing false alerts on non-sensitive tokens.</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5: Confidence Scoring Model.</w:t>
      </w:r>
      <w:r>
        <w:rPr>
          <w:rFonts w:ascii="Times New Roman" w:cs="Times New Roman" w:eastAsia="Times New Roman" w:hAnsi="Times New Roman"/>
          <w:b w:val="false"/>
          <w:bCs w:val="false"/>
          <w:i w:val="false"/>
          <w:iCs w:val="false"/>
          <w:sz w:val="20"/>
          <w:szCs w:val="20"/>
        </w:rPr>
        <w:t xml:space="preserve"> The candidate string and its extracted attributes are evaluated by the 6-factor Secret Confidence Score (SCS) engine, which computes a single integer score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[0, 100] using a deterministic linear model weighted by feature reliability.</w:t>
      </w:r>
    </w:p>
    <w:p>
      <w:pPr>
        <w:pStyle w:val="ListItem"/>
        <w:numPr>
          <w:ilvl w:val="0"/>
          <w:numId w:val="5"/>
        </w:numPr>
        <w:jc w:val="both"/>
      </w:pPr>
      <w:r>
        <w:rPr>
          <w:rFonts w:ascii="Times New Roman" w:cs="Times New Roman" w:eastAsia="Times New Roman" w:hAnsi="Times New Roman"/>
          <w:b w:val="false"/>
          <w:bCs w:val="false"/>
          <w:i/>
          <w:iCs/>
          <w:sz w:val="20"/>
          <w:szCs w:val="20"/>
        </w:rPr>
        <w:t xml:space="preserve">Stage 6: Tri-State Decision Gate &amp; Policy Modes.</w:t>
      </w:r>
      <w:r>
        <w:rPr>
          <w:rFonts w:ascii="Times New Roman" w:cs="Times New Roman" w:eastAsia="Times New Roman" w:hAnsi="Times New Roman"/>
          <w:b w:val="false"/>
          <w:bCs w:val="false"/>
          <w:i w:val="false"/>
          <w:iCs w:val="false"/>
          <w:sz w:val="20"/>
          <w:szCs w:val="20"/>
        </w:rPr>
        <w:t xml:space="preserve"> Based on score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the decision gate partitions operational actions across three policy regimes:</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PASS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&lt; 50): The token is judged benign. The line is forwarded to stdout untouched.</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FLAG</w:t>
      </w:r>
      <w:r>
        <w:rPr>
          <w:rFonts w:ascii="Times New Roman" w:cs="Times New Roman" w:eastAsia="Times New Roman" w:hAnsi="Times New Roman"/>
          <w:b w:val="false"/>
          <w:bCs w:val="false"/>
          <w:i w:val="false"/>
          <w:iCs w:val="false"/>
          <w:sz w:val="20"/>
          <w:szCs w:val="20"/>
        </w:rPr>
        <w:t xml:space="preserve"> (50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&lt; 80): The token displays intermediate suspicion. The line is tagged with </w:t>
      </w:r>
      <w:r>
        <w:rPr>
          <w:rFonts w:ascii="Courier New" w:cs="Courier New" w:eastAsia="Courier New" w:hAnsi="Courier New"/>
          <w:b w:val="false"/>
          <w:bCs w:val="false"/>
          <w:i w:val="false"/>
          <w:iCs w:val="false"/>
          <w:sz w:val="18"/>
          <w:szCs w:val="18"/>
        </w:rPr>
        <w:t xml:space="preserve">[FLAGGED:SEC-XXXX:SCS=S]</w:t>
      </w:r>
      <w:r>
        <w:rPr>
          <w:rFonts w:ascii="Times New Roman" w:cs="Times New Roman" w:eastAsia="Times New Roman" w:hAnsi="Times New Roman"/>
          <w:b w:val="false"/>
          <w:bCs w:val="false"/>
          <w:i w:val="false"/>
          <w:iCs w:val="false"/>
          <w:sz w:val="20"/>
          <w:szCs w:val="20"/>
        </w:rPr>
        <w:t xml:space="preserve"> for SIEM alerting, but the value remains unmasked to preserve operational debugging utility. In strict compliance deployments, administrators can configure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 50, collapsing the FLAG band into unconditional redaction.</w:t>
      </w:r>
    </w:p>
    <w:p>
      <w:pPr>
        <w:pStyle w:val="ListItem"/>
        <w:numPr>
          <w:ilvl w:val="1"/>
          <w:numId w:val="3"/>
        </w:numPr>
        <w:jc w:val="both"/>
      </w:pPr>
      <w:r>
        <w:rPr>
          <w:rFonts w:ascii="Times New Roman" w:cs="Times New Roman" w:eastAsia="Times New Roman" w:hAnsi="Times New Roman"/>
          <w:b w:val="false"/>
          <w:bCs w:val="false"/>
          <w:i/>
          <w:iCs/>
          <w:sz w:val="20"/>
          <w:szCs w:val="20"/>
        </w:rPr>
        <w:t xml:space="preserve">REDACT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80): The token is classified as a confirmed secret; LogShield creates an opaque tracking ID </w:t>
      </w:r>
      <w:r>
        <w:rPr>
          <w:rFonts w:ascii="Courier New" w:cs="Courier New" w:eastAsia="Courier New" w:hAnsi="Courier New"/>
          <w:b w:val="false"/>
          <w:bCs w:val="false"/>
          <w:i w:val="false"/>
          <w:iCs w:val="false"/>
          <w:sz w:val="18"/>
          <w:szCs w:val="18"/>
        </w:rPr>
        <w:t xml:space="preserve">SEC-XXXX</w:t>
      </w:r>
      <w:r>
        <w:rPr>
          <w:rFonts w:ascii="Times New Roman" w:cs="Times New Roman" w:eastAsia="Times New Roman" w:hAnsi="Times New Roman"/>
          <w:b w:val="false"/>
          <w:bCs w:val="false"/>
          <w:i w:val="false"/>
          <w:iCs w:val="false"/>
          <w:sz w:val="20"/>
          <w:szCs w:val="20"/>
        </w:rPr>
        <w:t xml:space="preserve">, substitutes the secret with </w:t>
      </w:r>
      <w:r>
        <w:rPr>
          <w:rFonts w:ascii="Courier New" w:cs="Courier New" w:eastAsia="Courier New" w:hAnsi="Courier New"/>
          <w:b w:val="false"/>
          <w:bCs w:val="false"/>
          <w:i w:val="false"/>
          <w:iCs w:val="false"/>
          <w:sz w:val="18"/>
          <w:szCs w:val="18"/>
        </w:rPr>
        <w:t xml:space="preserve">[REDACTED:SEC-XXXX:SCS=S]</w:t>
      </w:r>
      <w:r>
        <w:rPr>
          <w:rFonts w:ascii="Times New Roman" w:cs="Times New Roman" w:eastAsia="Times New Roman" w:hAnsi="Times New Roman"/>
          <w:b w:val="false"/>
          <w:bCs w:val="false"/>
          <w:i w:val="false"/>
          <w:iCs w:val="false"/>
          <w:sz w:val="20"/>
          <w:szCs w:val="20"/>
        </w:rPr>
        <w:t xml:space="preserve">, writes the encrypted payload to the SecureReveal Vault, updates the HMAC sprawl lineage database, and evaluates autonomous containment.</w:t>
      </w:r>
    </w:p>
    <w:p>
      <w:pPr>
        <w:pStyle w:val="Body"/>
        <w:jc w:val="both"/>
      </w:pPr>
      <w:r>
        <w:rPr>
          <w:rFonts w:ascii="Times New Roman" w:cs="Times New Roman" w:eastAsia="Times New Roman" w:hAnsi="Times New Roman"/>
          <w:b w:val="false"/>
          <w:bCs w:val="false"/>
          <w:i w:val="false"/>
          <w:iCs w:val="false"/>
          <w:sz w:val="20"/>
          <w:szCs w:val="20"/>
        </w:rPr>
        <w:t xml:space="preserve">Under unhandled runtime exceptions, the sidecar defaults to </w:t>
      </w:r>
      <w:r>
        <w:rPr>
          <w:rFonts w:ascii="Times New Roman" w:cs="Times New Roman" w:eastAsia="Times New Roman" w:hAnsi="Times New Roman"/>
          <w:b/>
          <w:bCs/>
          <w:i w:val="false"/>
          <w:iCs w:val="false"/>
          <w:sz w:val="20"/>
          <w:szCs w:val="20"/>
        </w:rPr>
        <w:t xml:space="preserve">Fail-Open with Immediate Alerting</w:t>
      </w:r>
      <w:r>
        <w:rPr>
          <w:rFonts w:ascii="Times New Roman" w:cs="Times New Roman" w:eastAsia="Times New Roman" w:hAnsi="Times New Roman"/>
          <w:b w:val="false"/>
          <w:bCs w:val="false"/>
          <w:i w:val="false"/>
          <w:iCs w:val="false"/>
          <w:sz w:val="20"/>
          <w:szCs w:val="20"/>
        </w:rPr>
        <w:t xml:space="preserve"> (the </w:t>
      </w:r>
      <w:r>
        <w:rPr>
          <w:rFonts w:ascii="Courier New" w:cs="Courier New" w:eastAsia="Courier New" w:hAnsi="Courier New"/>
          <w:b w:val="false"/>
          <w:bCs w:val="false"/>
          <w:i w:val="false"/>
          <w:iCs w:val="false"/>
          <w:sz w:val="18"/>
          <w:szCs w:val="18"/>
        </w:rPr>
        <w:t xml:space="preserve">logshield_failopen_active</w:t>
      </w:r>
      <w:r>
        <w:rPr>
          <w:rFonts w:ascii="Times New Roman" w:cs="Times New Roman" w:eastAsia="Times New Roman" w:hAnsi="Times New Roman"/>
          <w:b w:val="false"/>
          <w:bCs w:val="false"/>
          <w:i w:val="false"/>
          <w:iCs w:val="false"/>
          <w:sz w:val="20"/>
          <w:szCs w:val="20"/>
        </w:rPr>
        <w:t xml:space="preserve"> metric fires) to avoid blocking microservice container stdout; environments with zero tolerance for plaintext leakage can enable </w:t>
      </w:r>
      <w:r>
        <w:rPr>
          <w:rFonts w:ascii="Courier New" w:cs="Courier New" w:eastAsia="Courier New" w:hAnsi="Courier New"/>
          <w:b w:val="false"/>
          <w:bCs w:val="false"/>
          <w:i w:val="false"/>
          <w:iCs w:val="false"/>
          <w:sz w:val="18"/>
          <w:szCs w:val="18"/>
        </w:rPr>
        <w:t xml:space="preserve">FAIL_SECURE=true</w:t>
      </w:r>
      <w:r>
        <w:rPr>
          <w:rFonts w:ascii="Times New Roman" w:cs="Times New Roman" w:eastAsia="Times New Roman" w:hAnsi="Times New Roman"/>
          <w:b w:val="false"/>
          <w:bCs w:val="false"/>
          <w:i w:val="false"/>
          <w:iCs w:val="false"/>
          <w:sz w:val="20"/>
          <w:szCs w:val="20"/>
        </w:rPr>
        <w:t xml:space="preserve">, dropping unparseable lines.</w:t>
      </w:r>
    </w:p>
    <w:p>
      <w:pPr>
        <w:pStyle w:val="Heading1"/>
        <w:pStyle w:val="Heading1"/>
      </w:pPr>
      <w:r>
        <w:rPr>
          <w:rFonts w:ascii="Times New Roman" w:cs="Times New Roman" w:eastAsia="Times New Roman" w:hAnsi="Times New Roman"/>
          <w:smallCaps/>
          <w:sz w:val="20"/>
          <w:szCs w:val="20"/>
        </w:rPr>
        <w:t xml:space="preserve">V. </w:t>
      </w:r>
      <w:r>
        <w:rPr>
          <w:rFonts w:ascii="Times New Roman" w:cs="Times New Roman" w:eastAsia="Times New Roman" w:hAnsi="Times New Roman"/>
          <w:smallCaps/>
          <w:sz w:val="20"/>
          <w:szCs w:val="20"/>
        </w:rPr>
        <w:t xml:space="preserve">Mathematical Formulation &amp; Algorithms</w:t>
      </w:r>
    </w:p>
    <w:p>
      <w:pPr>
        <w:pStyle w:val="Heading2"/>
        <w:pStyle w:val="Heading2"/>
      </w:pPr>
      <w:r>
        <w:rPr>
          <w:rFonts w:ascii="Times New Roman" w:cs="Times New Roman" w:eastAsia="Times New Roman" w:hAnsi="Times New Roman"/>
          <w:b w:val="false"/>
          <w:bCs w:val="false"/>
          <w:i/>
          <w:iCs/>
          <w:sz w:val="20"/>
          <w:szCs w:val="20"/>
        </w:rPr>
        <w:t xml:space="preserve">A. Prefix-Stripped Shannon Entropy with Syntactic Prior</w:t>
      </w:r>
    </w:p>
    <w:p>
      <w:pPr>
        <w:pStyle w:val="Body"/>
        <w:ind w:firstLine="0"/>
        <w:jc w:val="both"/>
      </w:pPr>
      <w:r>
        <w:rPr>
          <w:rFonts w:ascii="Times New Roman" w:cs="Times New Roman" w:eastAsia="Times New Roman" w:hAnsi="Times New Roman"/>
          <w:b w:val="false"/>
          <w:bCs w:val="false"/>
          <w:i w:val="false"/>
          <w:iCs w:val="false"/>
          <w:sz w:val="20"/>
          <w:szCs w:val="20"/>
        </w:rPr>
        <w:t xml:space="preserve">Let a candidate string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be defined over alphabet Σ; the Shannon entropy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in bits per character measures character distribution diversity [33]:</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vertAlign w:val="subscript"/>
        </w:rPr>
        <w:t xml:space="preserve">c</w:t>
      </w:r>
      <w:r>
        <w:rPr>
          <w:rFonts w:ascii="Times New Roman" w:cs="Times New Roman" w:eastAsia="Times New Roman" w:hAnsi="Times New Roman"/>
          <w:b w:val="false"/>
          <w:bCs w:val="false"/>
          <w:i w:val="false"/>
          <w:iCs w:val="false"/>
          <w:sz w:val="20"/>
          <w:szCs w:val="20"/>
          <w:vertAlign w:val="subscript"/>
        </w:rPr>
        <w:t xml:space="preserve">∈Σ</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log</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(5)</w:t>
      </w:r>
    </w:p>
    <w:p>
      <w:pPr>
        <w:pStyle w:val="Body"/>
        <w:ind w:firstLine="0"/>
        <w:jc w:val="both"/>
      </w:pPr>
      <w:r>
        <w:rPr>
          <w:rFonts w:ascii="Times New Roman" w:cs="Times New Roman" w:eastAsia="Times New Roman" w:hAnsi="Times New Roman"/>
          <w:b w:val="false"/>
          <w:bCs w:val="false"/>
          <w:i w:val="false"/>
          <w:iCs w:val="false"/>
          <w:sz w:val="20"/>
          <w:szCs w:val="20"/>
        </w:rPr>
        <w:t xml:space="preserve">Entropy is used as a syntactic filter to discard natural language and repetitive tokens, not as a theoretical measure of cryptographic key strength. Fixed vendor prefixes (e.g., </w:t>
      </w:r>
      <w:r>
        <w:rPr>
          <w:rFonts w:ascii="Courier New" w:cs="Courier New" w:eastAsia="Courier New" w:hAnsi="Courier New"/>
          <w:b w:val="false"/>
          <w:bCs w:val="false"/>
          <w:i w:val="false"/>
          <w:iCs w:val="false"/>
          <w:sz w:val="18"/>
          <w:szCs w:val="18"/>
        </w:rPr>
        <w:t xml:space="preserve">AKIA</w:t>
      </w:r>
      <w:r>
        <w:rPr>
          <w:rFonts w:ascii="Times New Roman" w:cs="Times New Roman" w:eastAsia="Times New Roman" w:hAnsi="Times New Roman"/>
          <w:b w:val="false"/>
          <w:bCs w:val="false"/>
          <w:i w:val="false"/>
          <w:iCs w:val="false"/>
          <w:sz w:val="20"/>
          <w:szCs w:val="20"/>
        </w:rPr>
        <w:t xml:space="preserve"> for AWS or </w:t>
      </w:r>
      <w:r>
        <w:rPr>
          <w:rFonts w:ascii="Courier New" w:cs="Courier New" w:eastAsia="Courier New" w:hAnsi="Courier New"/>
          <w:b w:val="false"/>
          <w:bCs w:val="false"/>
          <w:i w:val="false"/>
          <w:iCs w:val="false"/>
          <w:sz w:val="18"/>
          <w:szCs w:val="18"/>
        </w:rPr>
        <w:t xml:space="preserve">sk_live_</w:t>
      </w:r>
      <w:r>
        <w:rPr>
          <w:rFonts w:ascii="Times New Roman" w:cs="Times New Roman" w:eastAsia="Times New Roman" w:hAnsi="Times New Roman"/>
          <w:b w:val="false"/>
          <w:bCs w:val="false"/>
          <w:i w:val="false"/>
          <w:iCs w:val="false"/>
          <w:sz w:val="20"/>
          <w:szCs w:val="20"/>
        </w:rPr>
        <w:t xml:space="preserve"> for Stripe) lower measured entropy on short tokens, while pseudo-random non-secrets (such as UUIDv4 strings) generate high entropy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 3.4). LogShield therefore strips known vendor prefixes before the check:</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Prefix(</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(6)</w:t>
      </w:r>
    </w:p>
    <w:p>
      <w:pPr>
        <w:pStyle w:val="Body"/>
        <w:ind w:firstLine="0"/>
        <w:jc w:val="both"/>
      </w:pPr>
      <w:r>
        <w:rPr>
          <w:rFonts w:ascii="Times New Roman" w:cs="Times New Roman" w:eastAsia="Times New Roman" w:hAnsi="Times New Roman"/>
          <w:b w:val="false"/>
          <w:bCs w:val="false"/>
          <w:i w:val="false"/>
          <w:iCs w:val="false"/>
          <w:sz w:val="20"/>
          <w:szCs w:val="20"/>
        </w:rPr>
        <w:t xml:space="preserve">Based on empirical distributions across 15,084 validated secrets in SecretBench [20], alphanumeric API tokens follow a distribution with sample mean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4.46 bits/char and standard deviation </w:t>
      </w:r>
      <w:r>
        <w:rPr>
          <w:rFonts w:ascii="Times New Roman" w:cs="Times New Roman" w:eastAsia="Times New Roman" w:hAnsi="Times New Roman"/>
          <w:b w:val="false"/>
          <w:bCs w:val="false"/>
          <w:i/>
          <w:iCs/>
          <w:sz w:val="20"/>
          <w:szCs w:val="20"/>
        </w:rPr>
        <w:t xml:space="preserve">σ</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0.71, yielding a lower syntactic prior boundary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− 3</w:t>
      </w:r>
      <w:r>
        <w:rPr>
          <w:rFonts w:ascii="Times New Roman" w:cs="Times New Roman" w:eastAsia="Times New Roman" w:hAnsi="Times New Roman"/>
          <w:b w:val="false"/>
          <w:bCs w:val="false"/>
          <w:i/>
          <w:iCs/>
          <w:sz w:val="20"/>
          <w:szCs w:val="20"/>
        </w:rPr>
        <w:t xml:space="preserve">σ</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2.33 bits/char [31]. We define the piecewise continuous entropy factor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entropy</w:t>
      </w:r>
      <w:r>
        <w:rPr>
          <w:rFonts w:ascii="Times New Roman" w:cs="Times New Roman" w:eastAsia="Times New Roman" w:hAnsi="Times New Roman"/>
          <w:b w:val="false"/>
          <w:bCs w:val="false"/>
          <w:i w:val="false"/>
          <w:iCs w:val="false"/>
          <w:sz w:val="20"/>
          <w:szCs w:val="20"/>
        </w:rPr>
        <w:t xml:space="preserve"> as:</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entropy</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 1.0,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sz w:val="20"/>
          <w:szCs w:val="20"/>
        </w:rPr>
        <w:t xml:space="preserve"/>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&lt; </w:t>
      </w:r>
      <w:r>
        <w:rPr>
          <w:rFonts w:ascii="Times New Roman" w:cs="Times New Roman" w:eastAsia="Times New Roman" w:hAnsi="Times New Roman"/>
          <w:b w:val="false"/>
          <w:bCs w:val="false"/>
          <w:i/>
          <w:iCs/>
          <w:sz w:val="20"/>
          <w:szCs w:val="20"/>
        </w:rPr>
        <w:t xml:space="preserve">μ</w:t>
      </w:r>
      <w:r>
        <w:rPr>
          <w:rFonts w:ascii="Times New Roman" w:cs="Times New Roman" w:eastAsia="Times New Roman" w:hAnsi="Times New Roman"/>
          <w:b w:val="false"/>
          <w:bCs w:val="false"/>
          <w:i/>
          <w:iCs/>
          <w:sz w:val="20"/>
          <w:szCs w:val="20"/>
          <w:vertAlign w:val="subscript"/>
        </w:rPr>
        <w:t xml:space="preserve">H</w:t>
      </w:r>
      <w:r>
        <w:rPr>
          <w:rFonts w:ascii="Times New Roman" w:cs="Times New Roman" w:eastAsia="Times New Roman" w:hAnsi="Times New Roman"/>
          <w:sz w:val="20"/>
          <w:szCs w:val="20"/>
        </w:rPr>
        <w:t xml:space="preserve"/>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0.0, otherwise</w:t>
      </w:r>
      <w:r>
        <w:rPr>
          <w:rFonts w:ascii="Times New Roman" w:cs="Times New Roman" w:eastAsia="Times New Roman" w:hAnsi="Times New Roman"/>
          <w:sz w:val="20"/>
          <w:szCs w:val="20"/>
        </w:rPr>
        <w:t xml:space="preserve">	(7)</w:t>
      </w:r>
    </w:p>
    <w:p>
      <w:pPr>
        <w:pStyle w:val="Body"/>
        <w:ind w:firstLine="0"/>
        <w:jc w:val="both"/>
      </w:pPr>
      <w:r>
        <w:rPr>
          <w:rFonts w:ascii="Times New Roman" w:cs="Times New Roman" w:eastAsia="Times New Roman" w:hAnsi="Times New Roman"/>
          <w:b w:val="false"/>
          <w:bCs w:val="false"/>
          <w:i w:val="false"/>
          <w:iCs w:val="false"/>
          <w:sz w:val="20"/>
          <w:szCs w:val="20"/>
        </w:rPr>
        <w:t xml:space="preserve">Crucially, low-entropy structured credentials (such as JWTs with repetitive JSON headers, PEM certificates, or database URIs) fall below </w:t>
      </w:r>
      <w:r>
        <w:rPr>
          <w:rFonts w:ascii="Times New Roman" w:cs="Times New Roman" w:eastAsia="Times New Roman" w:hAnsi="Times New Roman"/>
          <w:b w:val="false"/>
          <w:bCs w:val="false"/>
          <w:i/>
          <w:iCs/>
          <w:sz w:val="20"/>
          <w:szCs w:val="20"/>
        </w:rPr>
        <w:t xml:space="preserve">τ</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In LogShield, such credentials are not discarded, since they receive positive weighting through the structural feature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struct</w:t>
      </w:r>
      <w:r>
        <w:rPr>
          <w:rFonts w:ascii="Times New Roman" w:cs="Times New Roman" w:eastAsia="Times New Roman" w:hAnsi="Times New Roman"/>
          <w:b w:val="false"/>
          <w:bCs w:val="false"/>
          <w:i w:val="false"/>
          <w:iCs w:val="false"/>
          <w:sz w:val="20"/>
          <w:szCs w:val="20"/>
        </w:rPr>
        <w:t xml:space="preserve"> (+13 points) and context proximity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context</w:t>
      </w:r>
      <w:r>
        <w:rPr>
          <w:rFonts w:ascii="Times New Roman" w:cs="Times New Roman" w:eastAsia="Times New Roman" w:hAnsi="Times New Roman"/>
          <w:b w:val="false"/>
          <w:bCs w:val="false"/>
          <w:i w:val="false"/>
          <w:iCs w:val="false"/>
          <w:sz w:val="20"/>
          <w:szCs w:val="20"/>
        </w:rPr>
        <w:t xml:space="preserve"> (+29 points); this ensures that low character entropy alone does not cause false negatives.</w:t>
      </w:r>
    </w:p>
    <w:p>
      <w:pPr>
        <w:pStyle w:val="Heading2"/>
        <w:pStyle w:val="Heading2"/>
      </w:pPr>
      <w:r>
        <w:rPr>
          <w:rFonts w:ascii="Times New Roman" w:cs="Times New Roman" w:eastAsia="Times New Roman" w:hAnsi="Times New Roman"/>
          <w:b w:val="false"/>
          <w:bCs w:val="false"/>
          <w:i/>
          <w:iCs/>
          <w:sz w:val="20"/>
          <w:szCs w:val="20"/>
        </w:rPr>
        <w:t xml:space="preserve">B. Machine Learning Formulation: Six-Factor Confidence Scoring (SCS)</w:t>
      </w:r>
    </w:p>
    <w:p>
      <w:pPr>
        <w:pStyle w:val="Body"/>
        <w:ind w:firstLine="0"/>
        <w:jc w:val="both"/>
      </w:pPr>
      <w:r>
        <w:rPr>
          <w:rFonts w:ascii="Times New Roman" w:cs="Times New Roman" w:eastAsia="Times New Roman" w:hAnsi="Times New Roman"/>
          <w:b w:val="false"/>
          <w:bCs w:val="false"/>
          <w:i w:val="false"/>
          <w:iCs w:val="false"/>
          <w:sz w:val="20"/>
          <w:szCs w:val="20"/>
        </w:rPr>
        <w:t xml:space="preserve">For candidate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in line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we assess a 6-factor feature vector </w:t>
      </w:r>
      <w:r>
        <w:rPr>
          <w:rFonts w:ascii="Times New Roman" w:cs="Times New Roman" w:eastAsia="Times New Roman" w:hAnsi="Times New Roman"/>
          <w:b/>
          <w:bCs/>
          <w:i w:val="false"/>
          <w:iCs w:val="false"/>
          <w:sz w:val="20"/>
          <w:szCs w:val="20"/>
        </w:rPr>
        <w:t xml:space="preserve">x</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regex</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context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entropy</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struct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varname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vertAlign w:val="subscript"/>
        </w:rPr>
        <w:t xml:space="preserve">encoding</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vertAlign w:val="superscript"/>
        </w:rPr>
        <w:t xml:space="preserve">T</w:t>
      </w:r>
      <w:r>
        <w:rPr>
          <w:rFonts w:ascii="Times New Roman" w:cs="Times New Roman" w:eastAsia="Times New Roman" w:hAnsi="Times New Roman"/>
          <w:b w:val="false"/>
          <w:bCs w:val="false"/>
          <w:i w:val="false"/>
          <w:iCs w:val="false"/>
          <w:sz w:val="20"/>
          <w:szCs w:val="20"/>
        </w:rPr>
        <w:t xml:space="preserve">; model weights were fit by solving an L2-regularized logistic regression problem across 60,000 labeled log entries from our training partition:</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min</w:t>
      </w:r>
      <w:r>
        <w:rPr>
          <w:rFonts w:ascii="Times New Roman" w:cs="Times New Roman" w:eastAsia="Times New Roman" w:hAnsi="Times New Roman"/>
          <w:b/>
          <w:bCs/>
          <w:i w:val="false"/>
          <w:iCs w:val="false"/>
          <w:sz w:val="20"/>
          <w:szCs w:val="20"/>
          <w:vertAlign w:val="subscript"/>
        </w:rPr>
        <w:t xml:space="preserve">w</w:t>
      </w:r>
      <w:r>
        <w:rPr>
          <w:rFonts w:ascii="Times New Roman" w:cs="Times New Roman" w:eastAsia="Times New Roman" w:hAnsi="Times New Roman"/>
          <w:b w:val="false"/>
          <w:bCs w:val="false"/>
          <w:i w:val="false"/>
          <w:iCs w:val="false"/>
          <w:sz w:val="20"/>
          <w:szCs w:val="20"/>
          <w:vertAlign w:val="subscript"/>
        </w:rPr>
        <w:t xml:space="preserve">,</w:t>
      </w:r>
      <w:r>
        <w:rPr>
          <w:rFonts w:ascii="Times New Roman" w:cs="Times New Roman" w:eastAsia="Times New Roman" w:hAnsi="Times New Roman"/>
          <w:b w:val="false"/>
          <w:bCs w:val="false"/>
          <w:i/>
          <w:iCs/>
          <w:sz w:val="20"/>
          <w:szCs w:val="20"/>
          <w:vertAlign w:val="subscript"/>
        </w:rPr>
        <w:t xml:space="preserve">b</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iCs/>
          <w:sz w:val="20"/>
          <w:szCs w:val="20"/>
          <w:vertAlign w:val="superscript"/>
        </w:rPr>
        <w:t xml:space="preserve">M</w:t>
      </w:r>
      <w:r>
        <w:rPr>
          <w:rFonts w:ascii="Times New Roman" w:cs="Times New Roman" w:eastAsia="Times New Roman" w:hAnsi="Times New Roman"/>
          <w:b w:val="false"/>
          <w:bCs w:val="false"/>
          <w:i w:val="false"/>
          <w:iCs w:val="false"/>
          <w:sz w:val="20"/>
          <w:szCs w:val="20"/>
        </w:rPr>
        <w:t xml:space="preserve"> ln(1 + exp(−</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bCs/>
          <w:i w:val="false"/>
          <w:iCs w:val="false"/>
          <w:sz w:val="20"/>
          <w:szCs w:val="20"/>
        </w:rPr>
        <w:t xml:space="preserve">w</w:t>
      </w:r>
      <w:r>
        <w:rPr>
          <w:rFonts w:ascii="Times New Roman" w:cs="Times New Roman" w:eastAsia="Times New Roman" w:hAnsi="Times New Roman"/>
          <w:b w:val="false"/>
          <w:bCs w:val="false"/>
          <w:i/>
          <w:iCs/>
          <w:sz w:val="20"/>
          <w:szCs w:val="20"/>
          <w:vertAlign w:val="superscript"/>
        </w:rPr>
        <w:t xml:space="preserve">T</w:t>
      </w:r>
      <w:r>
        <w:rPr>
          <w:rFonts w:ascii="Times New Roman" w:cs="Times New Roman" w:eastAsia="Times New Roman" w:hAnsi="Times New Roman"/>
          <w:b/>
          <w:bCs/>
          <w:i w:val="false"/>
          <w:iCs w:val="false"/>
          <w:sz w:val="20"/>
          <w:szCs w:val="20"/>
        </w:rPr>
        <w:t xml:space="preserve">x</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i w:val="false"/>
          <w:iCs w:val="false"/>
          <w:sz w:val="20"/>
          <w:szCs w:val="20"/>
        </w:rPr>
        <w:t xml:space="preserve">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sz w:val="20"/>
          <w:szCs w:val="20"/>
        </w:rPr>
        <w:t xml:space="preserve">	(8)</w:t>
      </w:r>
    </w:p>
    <w:p>
      <w:pPr>
        <w:pStyle w:val="Body"/>
        <w:ind w:firstLine="0"/>
        <w:jc w:val="both"/>
      </w:pPr>
      <w:r>
        <w:rPr>
          <w:rFonts w:ascii="Times New Roman" w:cs="Times New Roman" w:eastAsia="Times New Roman" w:hAnsi="Times New Roman"/>
          <w:b w:val="false"/>
          <w:bCs w:val="false"/>
          <w:i w:val="false"/>
          <w:iCs w:val="false"/>
          <w:sz w:val="20"/>
          <w:szCs w:val="20"/>
        </w:rPr>
        <w:t xml:space="preserve">with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60,000, inverse regularization strength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1.0, and binary ground-truth labels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{−1, +1}. Optimization converged via L-BFGS [34] in 22 iterations (intercept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−8.1475). To avoid floating-point arithmetic and transcendental functions in the critical logging path, positive learned coefficients were normalized to integer weights summing to 100. Table II summarizes the feature definitions, unconstrained logistic regression coefficients, and normalized production weights. The Secret Confidence Score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[0, 100] is computed as</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min(100, ∑</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vertAlign w:val="superscript"/>
        </w:rPr>
        <w:t xml:space="preserve">6</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(9)</w:t>
      </w:r>
    </w:p>
    <w:p>
      <w:pPr>
        <w:pStyle w:val="Body"/>
        <w:ind w:firstLine="0"/>
        <w:jc w:val="both"/>
      </w:pPr>
      <w:r>
        <w:rPr>
          <w:rFonts w:ascii="Times New Roman" w:cs="Times New Roman" w:eastAsia="Times New Roman" w:hAnsi="Times New Roman"/>
          <w:b w:val="false"/>
          <w:bCs w:val="false"/>
          <w:i w:val="false"/>
          <w:iCs w:val="false"/>
          <w:sz w:val="20"/>
          <w:szCs w:val="20"/>
        </w:rPr>
        <w:t xml:space="preserve">This integer formulation executes in under 14 microseconds per candidate token, providing statistically grounded and predictable real-time execution.</w:t>
      </w:r>
    </w:p>
    <w:p>
      <w:pPr>
        <w:pStyle w:val="Caption"/>
        <w:keepNext/>
        <w:spacing w:after="0" w:before="120"/>
        <w:jc w:val="center"/>
      </w:pPr>
      <w:r>
        <w:rPr>
          <w:rFonts w:ascii="Times New Roman" w:cs="Times New Roman" w:eastAsia="Times New Roman" w:hAnsi="Times New Roman"/>
          <w:sz w:val="16"/>
          <w:szCs w:val="16"/>
        </w:rPr>
        <w:t xml:space="preserve">TABLE II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Feature Space and Parameter Weights for the 6-Factor SCS Model</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Pr>
      <w:tblGrid>
        <w:gridCol w:w="820"/>
        <w:gridCol w:w="800"/>
        <w:gridCol w:w="700"/>
        <w:gridCol w:w="620"/>
        <w:gridCol w:w="2100"/>
      </w:tblGrid>
      <w:tr>
        <w:trPr>
          <w:cantSplit/>
          <w:tblHeader/>
        </w:trPr>
        <w:tc>
          <w:tcPr>
            <w:tcW w:type="dxa" w:w="82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Feature</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Domain</w:t>
            </w:r>
          </w:p>
        </w:tc>
        <w:tc>
          <w:tcPr>
            <w:tcW w:type="dxa" w:w="7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Coeff. (</w:t>
            </w:r>
            <w:r>
              <w:rPr>
                <w:rFonts w:ascii="Times New Roman" w:cs="Times New Roman" w:eastAsia="Times New Roman" w:hAnsi="Times New Roman"/>
                <w:b/>
                <w:bCs/>
                <w:i/>
                <w:iCs/>
                <w:sz w:val="16"/>
                <w:szCs w:val="16"/>
              </w:rPr>
              <w:t xml:space="preserve">β</w:t>
            </w:r>
            <w:r>
              <w:rPr>
                <w:rFonts w:ascii="Times New Roman" w:cs="Times New Roman" w:eastAsia="Times New Roman" w:hAnsi="Times New Roman"/>
                <w:b/>
                <w:bCs/>
                <w:i/>
                <w:iCs/>
                <w:sz w:val="16"/>
                <w:szCs w:val="16"/>
                <w:vertAlign w:val="subscript"/>
              </w:rPr>
              <w:t xml:space="preserve">i</w:t>
            </w:r>
            <w:r>
              <w:rPr>
                <w:rFonts w:ascii="Times New Roman" w:cs="Times New Roman" w:eastAsia="Times New Roman" w:hAnsi="Times New Roman"/>
                <w:b/>
                <w:bCs/>
                <w:i w:val="false"/>
                <w:iCs w:val="false"/>
                <w:sz w:val="16"/>
                <w:szCs w:val="16"/>
              </w:rPr>
              <w:t xml:space="preserve">)</w:t>
            </w:r>
          </w:p>
        </w:tc>
        <w:tc>
          <w:tcPr>
            <w:tcW w:type="dxa" w:w="62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Weight (</w:t>
            </w:r>
            <w:r>
              <w:rPr>
                <w:rFonts w:ascii="Times New Roman" w:cs="Times New Roman" w:eastAsia="Times New Roman" w:hAnsi="Times New Roman"/>
                <w:b/>
                <w:bCs/>
                <w:i/>
                <w:iCs/>
                <w:sz w:val="16"/>
                <w:szCs w:val="16"/>
              </w:rPr>
              <w:t xml:space="preserve">w</w:t>
            </w:r>
            <w:r>
              <w:rPr>
                <w:rFonts w:ascii="Times New Roman" w:cs="Times New Roman" w:eastAsia="Times New Roman" w:hAnsi="Times New Roman"/>
                <w:b/>
                <w:bCs/>
                <w:i/>
                <w:iCs/>
                <w:sz w:val="16"/>
                <w:szCs w:val="16"/>
                <w:vertAlign w:val="subscript"/>
              </w:rPr>
              <w:t xml:space="preserve">i</w:t>
            </w:r>
            <w:r>
              <w:rPr>
                <w:rFonts w:ascii="Times New Roman" w:cs="Times New Roman" w:eastAsia="Times New Roman" w:hAnsi="Times New Roman"/>
                <w:b/>
                <w:bCs/>
                <w:i w:val="false"/>
                <w:iCs w:val="false"/>
                <w:sz w:val="16"/>
                <w:szCs w:val="16"/>
              </w:rPr>
              <w:t xml:space="preserve">)</w:t>
            </w:r>
          </w:p>
        </w:tc>
        <w:tc>
          <w:tcPr>
            <w:tcW w:type="dxa" w:w="2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Measurement Basis</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regex</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+5.80</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41</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Specific / catalog pattern match</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context</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+4.14</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29</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Variable name proximity window</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entropy</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+2.38</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17</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3-sigma bounded Shannon entropy</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struct</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+1.82</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13</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Checksums, JWT dots, PEM headers</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varname</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−0.71</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Encompassed into the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context</w:t>
            </w:r>
            <w:r>
              <w:rPr>
                <w:rFonts w:ascii="Times New Roman" w:cs="Times New Roman" w:eastAsia="Times New Roman" w:hAnsi="Times New Roman"/>
                <w:b w:val="false"/>
                <w:bCs w:val="false"/>
                <w:i w:val="false"/>
                <w:iCs w:val="false"/>
                <w:sz w:val="16"/>
                <w:szCs w:val="16"/>
              </w:rPr>
              <w:t xml:space="preserve"> distance</w:t>
            </w:r>
          </w:p>
        </w:tc>
      </w:tr>
      <w:tr>
        <w:trPr>
          <w:cantSplit/>
        </w:trPr>
        <w:tc>
          <w:tcPr>
            <w:tcW w:type="dxa" w:w="8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vertAlign w:val="subscript"/>
              </w:rPr>
              <w:t xml:space="preserve">encoding</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 1}</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−4.50</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Handled in Stage 1 preprocessor</w:t>
            </w:r>
          </w:p>
        </w:tc>
      </w:tr>
      <w:tr>
        <w:trPr>
          <w:cantSplit/>
        </w:trPr>
        <w:tc>
          <w:tcPr>
            <w:tcW w:type="dxa" w:w="82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Total</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p>
        </w:tc>
        <w:tc>
          <w:tcPr>
            <w:tcW w:type="dxa" w:w="7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p>
        </w:tc>
        <w:tc>
          <w:tcPr>
            <w:tcW w:type="dxa" w:w="62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w:t>
            </w:r>
          </w:p>
        </w:tc>
        <w:tc>
          <w:tcPr>
            <w:tcW w:type="dxa" w:w="2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Normalized maximum; score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[0, 100]</w:t>
            </w:r>
          </w:p>
        </w:tc>
      </w:tr>
    </w:tbl>
    <w:p>
      <w:pPr>
        <w:pStyle w:val="Caption"/>
        <w:spacing w:after="80" w:before="0"/>
      </w:pPr>
    </w:p>
    <w:p>
      <w:pPr>
        <w:pStyle w:val="Heading2"/>
        <w:pStyle w:val="Heading2"/>
      </w:pPr>
      <w:r>
        <w:rPr>
          <w:rFonts w:ascii="Times New Roman" w:cs="Times New Roman" w:eastAsia="Times New Roman" w:hAnsi="Times New Roman"/>
          <w:b w:val="false"/>
          <w:bCs w:val="false"/>
          <w:i/>
          <w:iCs/>
          <w:sz w:val="20"/>
          <w:szCs w:val="20"/>
        </w:rPr>
        <w:t xml:space="preserve">C. Formal Algorithmic Complexity Breakdown</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computational complexity of LogShield is partitioned across its execution stages: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1 (Token Fusion &amp; Normalization):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time and space over line byte-length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bounded by a 3-token sliding window.</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2 (Aho-Corasick Automaton):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time, where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is the number of keyword hits; the DFA graph over dictionary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keys</w:t>
      </w:r>
      <w:r>
        <w:rPr>
          <w:rFonts w:ascii="Times New Roman" w:cs="Times New Roman" w:eastAsia="Times New Roman" w:hAnsi="Times New Roman"/>
          <w:b w:val="false"/>
          <w:bCs w:val="false"/>
          <w:i w:val="false"/>
          <w:iCs w:val="false"/>
          <w:sz w:val="20"/>
          <w:szCs w:val="20"/>
        </w:rPr>
        <w:t xml:space="preserve"> is built once at sidecar initialization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keys</w:t>
      </w:r>
      <w:r>
        <w:rPr>
          <w:rFonts w:ascii="Times New Roman" w:cs="Times New Roman" w:eastAsia="Times New Roman" w:hAnsi="Times New Roman"/>
          <w:b w:val="false"/>
          <w:bCs w:val="false"/>
          <w:i w:val="false"/>
          <w:iCs w:val="false"/>
          <w:sz w:val="20"/>
          <w:szCs w:val="20"/>
        </w:rPr>
        <w:t xml:space="preserve">|) memory).</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3 (Context Evaluation):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vertAlign w:val="subscript"/>
        </w:rPr>
        <w:t xml:space="preserve">ctx</w:t>
      </w:r>
      <w:r>
        <w:rPr>
          <w:rFonts w:ascii="Times New Roman" w:cs="Times New Roman" w:eastAsia="Times New Roman" w:hAnsi="Times New Roman"/>
          <w:b w:val="false"/>
          <w:bCs w:val="false"/>
          <w:i w:val="false"/>
          <w:iCs w:val="false"/>
          <w:sz w:val="20"/>
          <w:szCs w:val="20"/>
        </w:rPr>
        <w:t xml:space="preserve">), where context window </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vertAlign w:val="subscript"/>
        </w:rPr>
        <w:t xml:space="preserve">ctx</w:t>
      </w:r>
      <w:r>
        <w:rPr>
          <w:rFonts w:ascii="Times New Roman" w:cs="Times New Roman" w:eastAsia="Times New Roman" w:hAnsi="Times New Roman"/>
          <w:b w:val="false"/>
          <w:bCs w:val="false"/>
          <w:i w:val="false"/>
          <w:iCs w:val="false"/>
          <w:sz w:val="20"/>
          <w:szCs w:val="20"/>
        </w:rPr>
        <w:t xml:space="preserve"> ≤ 40 chars.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4 (Hierarchical Regex Matching):</w:t>
      </w:r>
      <w:r>
        <w:rPr>
          <w:rFonts w:ascii="Times New Roman" w:cs="Times New Roman" w:eastAsia="Times New Roman" w:hAnsi="Times New Roman"/>
          <w:b w:val="false"/>
          <w:bCs w:val="false"/>
          <w:i w:val="false"/>
          <w:iCs w:val="false"/>
          <w:sz w:val="20"/>
          <w:szCs w:val="20"/>
        </w:rPr>
        <w:t xml:space="preserve"> Evaluated only on candidate tokens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2 typical); to prevent catastrophic ReDoS backtracking, expression matching is bounded by an asynchronous 5.0 ms watchdog timer: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min(</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watchdog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5 (Confidence Scoring):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constant-time integer operations.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Stage 6 (Vaulting &amp; Containment):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crypto</w:t>
      </w:r>
      <w:r>
        <w:rPr>
          <w:rFonts w:ascii="Times New Roman" w:cs="Times New Roman" w:eastAsia="Times New Roman" w:hAnsi="Times New Roman"/>
          <w:b w:val="false"/>
          <w:bCs w:val="false"/>
          <w:i w:val="false"/>
          <w:iCs w:val="false"/>
          <w:sz w:val="20"/>
          <w:szCs w:val="20"/>
        </w:rPr>
        <w:t xml:space="preserve">)), where secret length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4 KB.</w:t>
      </w:r>
    </w:p>
    <w:p>
      <w:pPr>
        <w:pStyle w:val="Body"/>
        <w:ind w:firstLine="0"/>
        <w:jc w:val="both"/>
      </w:pPr>
      <w:r>
        <w:rPr>
          <w:rFonts w:ascii="Times New Roman" w:cs="Times New Roman" w:eastAsia="Times New Roman" w:hAnsi="Times New Roman"/>
          <w:b w:val="false"/>
          <w:bCs w:val="false"/>
          <w:i w:val="false"/>
          <w:iCs w:val="false"/>
          <w:sz w:val="20"/>
          <w:szCs w:val="20"/>
        </w:rPr>
        <w:t xml:space="preserve">Overall worst-case processing is strictly bounded by the 64 KB line length limit and the 5.0 ms regex watchdog timer.</w:t>
      </w:r>
    </w:p>
    <w:p>
      <w:pPr>
        <w:pStyle w:val="Heading2"/>
        <w:pStyle w:val="Heading2"/>
      </w:pPr>
      <w:r>
        <w:rPr>
          <w:rFonts w:ascii="Times New Roman" w:cs="Times New Roman" w:eastAsia="Times New Roman" w:hAnsi="Times New Roman"/>
          <w:b w:val="false"/>
          <w:bCs w:val="false"/>
          <w:i/>
          <w:iCs/>
          <w:sz w:val="20"/>
          <w:szCs w:val="20"/>
        </w:rPr>
        <w:t xml:space="preserve">D. Transformation-Aware Canonical Blind Lineage Graphing</w:t>
      </w:r>
    </w:p>
    <w:p>
      <w:pPr>
        <w:pStyle w:val="Body"/>
        <w:ind w:firstLine="0"/>
        <w:jc w:val="both"/>
      </w:pPr>
      <w:r>
        <w:rPr>
          <w:rFonts w:ascii="Times New Roman" w:cs="Times New Roman" w:eastAsia="Times New Roman" w:hAnsi="Times New Roman"/>
          <w:b w:val="false"/>
          <w:bCs w:val="false"/>
          <w:i w:val="false"/>
          <w:iCs w:val="false"/>
          <w:sz w:val="20"/>
          <w:szCs w:val="20"/>
        </w:rPr>
        <w:t xml:space="preserve">To detect whether a leaked credential has proliferated across microservices without exposing plaintext strings, LogShield applies canonical keyed blind fingerprinting; when credentials transit mixed architectures, they appear in multiple representations (raw ASCII, Base64 headers, hex bytes, and URL-encoded query parameters). LogShield prescribes a conditional canonicalization mapping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executed in strict sequence:</w:t>
      </w:r>
    </w:p>
    <w:p>
      <w:pPr>
        <w:pStyle w:val="ListItem"/>
        <w:numPr>
          <w:ilvl w:val="0"/>
          <w:numId w:val="6"/>
        </w:numPr>
        <w:jc w:val="both"/>
      </w:pPr>
      <w:r>
        <w:rPr>
          <w:rFonts w:ascii="Times New Roman" w:cs="Times New Roman" w:eastAsia="Times New Roman" w:hAnsi="Times New Roman"/>
          <w:b w:val="false"/>
          <w:bCs w:val="false"/>
          <w:i/>
          <w:iCs/>
          <w:sz w:val="20"/>
          <w:szCs w:val="20"/>
        </w:rPr>
        <w:t xml:space="preserve">Whitespace Stripping:</w:t>
      </w:r>
      <w:r>
        <w:rPr>
          <w:rFonts w:ascii="Times New Roman" w:cs="Times New Roman" w:eastAsia="Times New Roman" w:hAnsi="Times New Roman"/>
          <w:b w:val="false"/>
          <w:bCs w:val="false"/>
          <w:i w:val="false"/>
          <w:iCs w:val="false"/>
          <w:sz w:val="20"/>
          <w:szCs w:val="20"/>
        </w:rPr>
        <w:t xml:space="preserve"> Trims surrounding whitespace and quotes.</w:t>
      </w:r>
    </w:p>
    <w:p>
      <w:pPr>
        <w:pStyle w:val="ListItem"/>
        <w:numPr>
          <w:ilvl w:val="0"/>
          <w:numId w:val="6"/>
        </w:numPr>
        <w:jc w:val="both"/>
      </w:pPr>
      <w:r>
        <w:rPr>
          <w:rFonts w:ascii="Times New Roman" w:cs="Times New Roman" w:eastAsia="Times New Roman" w:hAnsi="Times New Roman"/>
          <w:b w:val="false"/>
          <w:bCs w:val="false"/>
          <w:i/>
          <w:iCs/>
          <w:sz w:val="20"/>
          <w:szCs w:val="20"/>
        </w:rPr>
        <w:t xml:space="preserve">Conditional RFC 3986 URL Decoding:</w:t>
      </w:r>
      <w:r>
        <w:rPr>
          <w:rFonts w:ascii="Times New Roman" w:cs="Times New Roman" w:eastAsia="Times New Roman" w:hAnsi="Times New Roman"/>
          <w:b w:val="false"/>
          <w:bCs w:val="false"/>
          <w:i w:val="false"/>
          <w:iCs w:val="false"/>
          <w:sz w:val="20"/>
          <w:szCs w:val="20"/>
        </w:rPr>
        <w:t xml:space="preserve"> Performed only if percent escape tokens (</w:t>
      </w:r>
      <w:r>
        <w:rPr>
          <w:rFonts w:ascii="Courier New" w:cs="Courier New" w:eastAsia="Courier New" w:hAnsi="Courier New"/>
          <w:b w:val="false"/>
          <w:bCs w:val="false"/>
          <w:i w:val="false"/>
          <w:iCs w:val="false"/>
          <w:sz w:val="18"/>
          <w:szCs w:val="18"/>
        </w:rPr>
        <w:t xml:space="preserve">%[0-9A-Fa-f]{2}</w:t>
      </w:r>
      <w:r>
        <w:rPr>
          <w:rFonts w:ascii="Times New Roman" w:cs="Times New Roman" w:eastAsia="Times New Roman" w:hAnsi="Times New Roman"/>
          <w:b w:val="false"/>
          <w:bCs w:val="false"/>
          <w:i w:val="false"/>
          <w:iCs w:val="false"/>
          <w:sz w:val="20"/>
          <w:szCs w:val="20"/>
        </w:rPr>
        <w:t xml:space="preserve">) are present and decode to valid UTF-8 [35].</w:t>
      </w:r>
    </w:p>
    <w:p>
      <w:pPr>
        <w:pStyle w:val="ListItem"/>
        <w:numPr>
          <w:ilvl w:val="0"/>
          <w:numId w:val="6"/>
        </w:numPr>
        <w:jc w:val="both"/>
      </w:pPr>
      <w:r>
        <w:rPr>
          <w:rFonts w:ascii="Times New Roman" w:cs="Times New Roman" w:eastAsia="Times New Roman" w:hAnsi="Times New Roman"/>
          <w:b w:val="false"/>
          <w:bCs w:val="false"/>
          <w:i/>
          <w:iCs/>
          <w:sz w:val="20"/>
          <w:szCs w:val="20"/>
        </w:rPr>
        <w:t xml:space="preserve">Conditional Hex Unescaping:</w:t>
      </w:r>
      <w:r>
        <w:rPr>
          <w:rFonts w:ascii="Times New Roman" w:cs="Times New Roman" w:eastAsia="Times New Roman" w:hAnsi="Times New Roman"/>
          <w:b w:val="false"/>
          <w:bCs w:val="false"/>
          <w:i w:val="false"/>
          <w:iCs w:val="false"/>
          <w:sz w:val="20"/>
          <w:szCs w:val="20"/>
        </w:rPr>
        <w:t xml:space="preserve"> Conducted only if byte escapes (</w:t>
      </w:r>
      <w:r>
        <w:rPr>
          <w:rFonts w:ascii="Courier New" w:cs="Courier New" w:eastAsia="Courier New" w:hAnsi="Courier New"/>
          <w:b w:val="false"/>
          <w:bCs w:val="false"/>
          <w:i w:val="false"/>
          <w:iCs w:val="false"/>
          <w:sz w:val="18"/>
          <w:szCs w:val="18"/>
        </w:rPr>
        <w:t xml:space="preserve">\x[0-9A-Fa-f]{2}</w:t>
      </w:r>
      <w:r>
        <w:rPr>
          <w:rFonts w:ascii="Times New Roman" w:cs="Times New Roman" w:eastAsia="Times New Roman" w:hAnsi="Times New Roman"/>
          <w:b w:val="false"/>
          <w:bCs w:val="false"/>
          <w:i w:val="false"/>
          <w:iCs w:val="false"/>
          <w:sz w:val="20"/>
          <w:szCs w:val="20"/>
        </w:rPr>
        <w:t xml:space="preserve">) are detected and the resulting bytes are printable.</w:t>
      </w:r>
    </w:p>
    <w:p>
      <w:pPr>
        <w:pStyle w:val="ListItem"/>
        <w:numPr>
          <w:ilvl w:val="0"/>
          <w:numId w:val="6"/>
        </w:numPr>
        <w:jc w:val="both"/>
      </w:pPr>
      <w:r>
        <w:rPr>
          <w:rFonts w:ascii="Times New Roman" w:cs="Times New Roman" w:eastAsia="Times New Roman" w:hAnsi="Times New Roman"/>
          <w:b w:val="false"/>
          <w:bCs w:val="false"/>
          <w:i/>
          <w:iCs/>
          <w:sz w:val="20"/>
          <w:szCs w:val="20"/>
        </w:rPr>
        <w:t xml:space="preserve">Conditional Base64 Unnesting:</w:t>
      </w:r>
      <w:r>
        <w:rPr>
          <w:rFonts w:ascii="Times New Roman" w:cs="Times New Roman" w:eastAsia="Times New Roman" w:hAnsi="Times New Roman"/>
          <w:b w:val="false"/>
          <w:bCs w:val="false"/>
          <w:i w:val="false"/>
          <w:iCs w:val="false"/>
          <w:sz w:val="20"/>
          <w:szCs w:val="20"/>
        </w:rPr>
        <w:t xml:space="preserve"> Conducted only if the token length is a multiple of 4, conforms to Base64 alphabet rules, and decodes to printable ASCII/UTF-8. The raw token is kept to prevent false hash collisions if decoding yields unprintable binary data or invalid padding.</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sidecar computes the canonical blind fingerprint using HMAC-SHA256 with cluster key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lineage</w:t>
      </w:r>
      <w:r>
        <w:rPr>
          <w:rFonts w:ascii="Times New Roman" w:cs="Times New Roman" w:eastAsia="Times New Roman" w:hAnsi="Times New Roman"/>
          <w:b w:val="false"/>
          <w:bCs w:val="false"/>
          <w:i w:val="false"/>
          <w:iCs w:val="false"/>
          <w:sz w:val="20"/>
          <w:szCs w:val="20"/>
        </w:rPr>
        <w:t xml:space="preserve">:</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 HMAC-SHA256(</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lineage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(10)</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maintains exemption tuples of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Namespace, AuthorizedWorkload, ExpiresAt) for pre-registered credentials. When secret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is detected in pod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an authorized workload is matched within its registered namespace, lineage recording on the user-facing sprawl graph is suppressed to avoid operational alert fatigue; crucially, the event is still recorded in the local tamper-evident audit ledger for forensic accountability. If the same credential is detected in an unauthorized pod or outside its registered namespace, the exemption does not apply and an immediate cross-service leak incident is declared.</w:t>
      </w:r>
    </w:p>
    <w:p>
      <w:pPr>
        <w:pStyle w:val="Body"/>
        <w:jc w:val="both"/>
      </w:pPr>
      <w:r>
        <w:rPr>
          <w:rFonts w:ascii="Times New Roman" w:cs="Times New Roman" w:eastAsia="Times New Roman" w:hAnsi="Times New Roman"/>
          <w:b w:val="false"/>
          <w:bCs w:val="false"/>
          <w:i w:val="false"/>
          <w:iCs w:val="false"/>
          <w:sz w:val="20"/>
          <w:szCs w:val="20"/>
        </w:rPr>
        <w:t xml:space="preserve">Otherwise,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PodUID, Namespace,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seen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is committed to SQLite storage. The dashboard aggregates entries into a bipartite sprawl graph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pod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sec</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val="false"/>
          <w:iCs w:val="false"/>
          <w:sz w:val="20"/>
          <w:szCs w:val="20"/>
        </w:rPr>
        <w:t xml:space="preserve">) (Fig. 3); we define the Sprawl Risk Index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as</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val="false"/>
          <w:iCs w:val="false"/>
          <w:sz w:val="20"/>
          <w:szCs w:val="20"/>
        </w:rPr>
        <w:t xml:space="preserve">·deg(</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val="false"/>
          <w:iCs w:val="false"/>
          <w:sz w:val="20"/>
          <w:szCs w:val="20"/>
        </w:rPr>
        <w:t xml:space="preserve">·|Namespaces(</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γ</w:t>
      </w:r>
      <w:r>
        <w:rPr>
          <w:rFonts w:ascii="Times New Roman" w:cs="Times New Roman" w:eastAsia="Times New Roman" w:hAnsi="Times New Roman"/>
          <w:b w:val="false"/>
          <w:bCs w:val="false"/>
          <w:i w:val="false"/>
          <w:iCs w:val="false"/>
          <w:sz w:val="20"/>
          <w:szCs w:val="20"/>
        </w:rPr>
        <w:t xml:space="preserve">·log</w:t>
      </w:r>
      <w:r>
        <w:rPr>
          <w:rFonts w:ascii="Times New Roman" w:cs="Times New Roman" w:eastAsia="Times New Roman" w:hAnsi="Times New Roman"/>
          <w:b w:val="false"/>
          <w:bCs w:val="false"/>
          <w:i w:val="false"/>
          <w:iCs w:val="false"/>
          <w:sz w:val="20"/>
          <w:szCs w:val="20"/>
          <w:vertAlign w:val="subscript"/>
        </w:rPr>
        <w:t xml:space="preserve">10</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hits</w:t>
      </w:r>
      <w:r>
        <w:rPr>
          <w:rFonts w:ascii="Times New Roman" w:cs="Times New Roman" w:eastAsia="Times New Roman" w:hAnsi="Times New Roman"/>
          <w:b w:val="false"/>
          <w:bCs w:val="false"/>
          <w:i w:val="false"/>
          <w:iCs w:val="false"/>
          <w:sz w:val="20"/>
          <w:szCs w:val="20"/>
        </w:rPr>
        <w:t xml:space="preserve"> + 1)</w:t>
      </w:r>
      <w:r>
        <w:rPr>
          <w:rFonts w:ascii="Times New Roman" w:cs="Times New Roman" w:eastAsia="Times New Roman" w:hAnsi="Times New Roman"/>
          <w:sz w:val="20"/>
          <w:szCs w:val="20"/>
        </w:rPr>
        <w:t xml:space="preserve">	(11)</w:t>
      </w:r>
    </w:p>
    <w:p>
      <w:pPr>
        <w:pStyle w:val="Body"/>
        <w:ind w:firstLine="0"/>
        <w:jc w:val="both"/>
      </w:pPr>
      <w:r>
        <w:rPr>
          <w:rFonts w:ascii="Times New Roman" w:cs="Times New Roman" w:eastAsia="Times New Roman" w:hAnsi="Times New Roman"/>
          <w:b w:val="false"/>
          <w:bCs w:val="false"/>
          <w:i w:val="false"/>
          <w:iCs w:val="false"/>
          <w:sz w:val="20"/>
          <w:szCs w:val="20"/>
        </w:rPr>
        <w:t xml:space="preserve">with coefficients </w:t>
      </w:r>
      <w:r>
        <w:rPr>
          <w:rFonts w:ascii="Times New Roman" w:cs="Times New Roman" w:eastAsia="Times New Roman" w:hAnsi="Times New Roman"/>
          <w:b w:val="false"/>
          <w:bCs w:val="false"/>
          <w:i/>
          <w:iCs/>
          <w:sz w:val="20"/>
          <w:szCs w:val="20"/>
        </w:rPr>
        <w:t xml:space="preserve">α</w:t>
      </w:r>
      <w:r>
        <w:rPr>
          <w:rFonts w:ascii="Times New Roman" w:cs="Times New Roman" w:eastAsia="Times New Roman" w:hAnsi="Times New Roman"/>
          <w:b w:val="false"/>
          <w:bCs w:val="false"/>
          <w:i w:val="false"/>
          <w:iCs w:val="false"/>
          <w:sz w:val="20"/>
          <w:szCs w:val="20"/>
        </w:rPr>
        <w:t xml:space="preserve"> = 0.5, </w:t>
      </w:r>
      <w:r>
        <w:rPr>
          <w:rFonts w:ascii="Times New Roman" w:cs="Times New Roman" w:eastAsia="Times New Roman" w:hAnsi="Times New Roman"/>
          <w:b w:val="false"/>
          <w:bCs w:val="false"/>
          <w:i/>
          <w:iCs/>
          <w:sz w:val="20"/>
          <w:szCs w:val="20"/>
        </w:rPr>
        <w:t xml:space="preserve">β</w:t>
      </w:r>
      <w:r>
        <w:rPr>
          <w:rFonts w:ascii="Times New Roman" w:cs="Times New Roman" w:eastAsia="Times New Roman" w:hAnsi="Times New Roman"/>
          <w:b w:val="false"/>
          <w:bCs w:val="false"/>
          <w:i w:val="false"/>
          <w:iCs w:val="false"/>
          <w:sz w:val="20"/>
          <w:szCs w:val="20"/>
        </w:rPr>
        <w:t xml:space="preserve"> = 0.3, </w:t>
      </w:r>
      <w:r>
        <w:rPr>
          <w:rFonts w:ascii="Times New Roman" w:cs="Times New Roman" w:eastAsia="Times New Roman" w:hAnsi="Times New Roman"/>
          <w:b w:val="false"/>
          <w:bCs w:val="false"/>
          <w:i/>
          <w:iCs/>
          <w:sz w:val="20"/>
          <w:szCs w:val="20"/>
        </w:rPr>
        <w:t xml:space="preserve">γ</w:t>
      </w:r>
      <w:r>
        <w:rPr>
          <w:rFonts w:ascii="Times New Roman" w:cs="Times New Roman" w:eastAsia="Times New Roman" w:hAnsi="Times New Roman"/>
          <w:b w:val="false"/>
          <w:bCs w:val="false"/>
          <w:i w:val="false"/>
          <w:iCs w:val="false"/>
          <w:sz w:val="20"/>
          <w:szCs w:val="20"/>
        </w:rPr>
        <w:t xml:space="preserve"> = 0.2, allowing security operators to prioritize remediation for credentials shared across multiple services.</w:t>
      </w:r>
    </w:p>
    <w:p>
      <w:pPr>
        <w:keepNext/>
        <w:spacing w:after="40" w:before="100"/>
        <w:jc w:val="center"/>
      </w:pPr>
      <w:r>
        <w:drawing>
          <wp:inline distT="0" distB="0" distL="0" distR="0">
            <wp:extent cx="3105150" cy="1285875"/>
            <wp:effectExtent t="0" r="0" b="0" l="0"/>
            <wp:docPr id="1" name="Fig3" descr="Secret lineage graph, mapping cross-pod credential proliferation using canonical HMAC-SHA256 blind fingerprints across mixed encoding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285875"/>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3. Secret lineage graph, mapping cross-pod credential proliferation using canonical HMAC-SHA256 blind fingerprints across mixed encodings.</w:t>
      </w:r>
    </w:p>
    <w:p>
      <w:pPr>
        <w:pStyle w:val="Heading2"/>
        <w:pStyle w:val="Heading2"/>
      </w:pPr>
      <w:r>
        <w:rPr>
          <w:rFonts w:ascii="Times New Roman" w:cs="Times New Roman" w:eastAsia="Times New Roman" w:hAnsi="Times New Roman"/>
          <w:b w:val="false"/>
          <w:bCs w:val="false"/>
          <w:i/>
          <w:iCs/>
          <w:sz w:val="20"/>
          <w:szCs w:val="20"/>
        </w:rPr>
        <w:t xml:space="preserve">E. Autonomous Closed-Loop Containment Engine</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reshapes secret detection from a passive observer into an active Kubernetes control plane actor. Upon detecting credential exposure, the Containment Engine calculates the multi-service blast radius:</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|{Service(</w:t>
      </w:r>
      <w:r>
        <w:rPr>
          <w:rFonts w:ascii="Times New Roman" w:cs="Times New Roman" w:eastAsia="Times New Roman" w:hAnsi="Times New Roman"/>
          <w:b w:val="false"/>
          <w:bCs w:val="false"/>
          <w:i/>
          <w:iCs/>
          <w:sz w:val="20"/>
          <w:szCs w:val="20"/>
        </w:rPr>
        <w:t xml:space="preserve">u</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u</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(12)</w:t>
      </w:r>
    </w:p>
    <w:p>
      <w:pPr>
        <w:pStyle w:val="Body"/>
        <w:ind w:firstLine="0"/>
        <w:jc w:val="both"/>
      </w:pPr>
      <w:r>
        <w:rPr>
          <w:rFonts w:ascii="Times New Roman" w:cs="Times New Roman" w:eastAsia="Times New Roman" w:hAnsi="Times New Roman"/>
          <w:b w:val="false"/>
          <w:bCs w:val="false"/>
          <w:i w:val="false"/>
          <w:iCs w:val="false"/>
          <w:sz w:val="20"/>
          <w:szCs w:val="20"/>
        </w:rPr>
        <w:t xml:space="preserve">and evaluates policy rules against credential category and severity:</w:t>
      </w:r>
    </w:p>
    <w:p>
      <w:pPr>
        <w:pStyle w:val="ListItem"/>
        <w:numPr>
          <w:ilvl w:val="0"/>
          <w:numId w:val="3"/>
        </w:numPr>
        <w:jc w:val="both"/>
      </w:pPr>
      <w:r>
        <w:rPr>
          <w:rFonts w:ascii="Courier New" w:cs="Courier New" w:eastAsia="Courier New" w:hAnsi="Courier New"/>
          <w:b w:val="false"/>
          <w:bCs w:val="false"/>
          <w:i w:val="false"/>
          <w:iCs w:val="false"/>
          <w:sz w:val="18"/>
          <w:szCs w:val="18"/>
        </w:rPr>
        <w:t xml:space="preserve">POL-ROTATE-CLOUD</w:t>
      </w:r>
      <w:r>
        <w:rPr>
          <w:rFonts w:ascii="Times New Roman" w:cs="Times New Roman" w:eastAsia="Times New Roman" w:hAnsi="Times New Roman"/>
          <w:b w:val="false"/>
          <w:bCs w:val="false"/>
          <w:i w:val="false"/>
          <w:iCs w:val="false"/>
          <w:sz w:val="20"/>
          <w:szCs w:val="20"/>
        </w:rPr>
        <w:t xml:space="preserve">: Dispatches rotation webhooks for leaked cloud, payment, or database credentials.</w:t>
      </w:r>
    </w:p>
    <w:p>
      <w:pPr>
        <w:pStyle w:val="ListItem"/>
        <w:numPr>
          <w:ilvl w:val="0"/>
          <w:numId w:val="3"/>
        </w:numPr>
        <w:jc w:val="both"/>
      </w:pPr>
      <w:r>
        <w:rPr>
          <w:rFonts w:ascii="Courier New" w:cs="Courier New" w:eastAsia="Courier New" w:hAnsi="Courier New"/>
          <w:b w:val="false"/>
          <w:bCs w:val="false"/>
          <w:i w:val="false"/>
          <w:iCs w:val="false"/>
          <w:sz w:val="18"/>
          <w:szCs w:val="18"/>
        </w:rPr>
        <w:t xml:space="preserve">POL-QUARANTINE-POD</w:t>
      </w:r>
      <w:r>
        <w:rPr>
          <w:rFonts w:ascii="Times New Roman" w:cs="Times New Roman" w:eastAsia="Times New Roman" w:hAnsi="Times New Roman"/>
          <w:b w:val="false"/>
          <w:bCs w:val="false"/>
          <w:i w:val="false"/>
          <w:iCs w:val="false"/>
          <w:sz w:val="20"/>
          <w:szCs w:val="20"/>
        </w:rPr>
        <w:t xml:space="preserve">: Automatically isolates the leaking workload by composing and deploying a Kubernetes </w:t>
      </w:r>
      <w:r>
        <w:rPr>
          <w:rFonts w:ascii="Courier New" w:cs="Courier New" w:eastAsia="Courier New" w:hAnsi="Courier New"/>
          <w:b w:val="false"/>
          <w:bCs w:val="false"/>
          <w:i w:val="false"/>
          <w:iCs w:val="false"/>
          <w:sz w:val="18"/>
          <w:szCs w:val="18"/>
        </w:rPr>
        <w:t xml:space="preserve">V1NetworkPolicy</w:t>
      </w:r>
      <w:r>
        <w:rPr>
          <w:rFonts w:ascii="Times New Roman" w:cs="Times New Roman" w:eastAsia="Times New Roman" w:hAnsi="Times New Roman"/>
          <w:b w:val="false"/>
          <w:bCs w:val="false"/>
          <w:i w:val="false"/>
          <w:iCs w:val="false"/>
          <w:sz w:val="20"/>
          <w:szCs w:val="20"/>
        </w:rPr>
        <w:t xml:space="preserve"> restricting all outbound egress traffic (permitting only DNS port 53 for security telemetry).</w:t>
      </w:r>
    </w:p>
    <w:p>
      <w:pPr>
        <w:pStyle w:val="ListItem"/>
        <w:numPr>
          <w:ilvl w:val="0"/>
          <w:numId w:val="3"/>
        </w:numPr>
        <w:jc w:val="both"/>
      </w:pPr>
      <w:r>
        <w:rPr>
          <w:rFonts w:ascii="Courier New" w:cs="Courier New" w:eastAsia="Courier New" w:hAnsi="Courier New"/>
          <w:b w:val="false"/>
          <w:bCs w:val="false"/>
          <w:i w:val="false"/>
          <w:iCs w:val="false"/>
          <w:sz w:val="18"/>
          <w:szCs w:val="18"/>
        </w:rPr>
        <w:t xml:space="preserve">POL-REVOKE-SESSION</w:t>
      </w:r>
      <w:r>
        <w:rPr>
          <w:rFonts w:ascii="Times New Roman" w:cs="Times New Roman" w:eastAsia="Times New Roman" w:hAnsi="Times New Roman"/>
          <w:b w:val="false"/>
          <w:bCs w:val="false"/>
          <w:i w:val="false"/>
          <w:iCs w:val="false"/>
          <w:sz w:val="20"/>
          <w:szCs w:val="20"/>
        </w:rPr>
        <w:t xml:space="preserve">: Dispatches invalidation calls to identity providers for compromised JWT or OAuth bearer tokens.</w:t>
      </w:r>
    </w:p>
    <w:p>
      <w:pPr>
        <w:pStyle w:val="ListItem"/>
        <w:numPr>
          <w:ilvl w:val="0"/>
          <w:numId w:val="3"/>
        </w:numPr>
        <w:jc w:val="both"/>
      </w:pPr>
      <w:r>
        <w:rPr>
          <w:rFonts w:ascii="Courier New" w:cs="Courier New" w:eastAsia="Courier New" w:hAnsi="Courier New"/>
          <w:b w:val="false"/>
          <w:bCs w:val="false"/>
          <w:i w:val="false"/>
          <w:iCs w:val="false"/>
          <w:sz w:val="18"/>
          <w:szCs w:val="18"/>
        </w:rPr>
        <w:t xml:space="preserve">POL-AUDIT-HOLD</w:t>
      </w:r>
      <w:r>
        <w:rPr>
          <w:rFonts w:ascii="Times New Roman" w:cs="Times New Roman" w:eastAsia="Times New Roman" w:hAnsi="Times New Roman"/>
          <w:b w:val="false"/>
          <w:bCs w:val="false"/>
          <w:i w:val="false"/>
          <w:iCs w:val="false"/>
          <w:sz w:val="20"/>
          <w:szCs w:val="20"/>
        </w:rPr>
        <w:t xml:space="preserve">: Locks the credential in the vault with a forward-secure receipt.</w:t>
      </w:r>
    </w:p>
    <w:p>
      <w:pPr>
        <w:pStyle w:val="Body"/>
        <w:ind w:firstLine="0"/>
        <w:jc w:val="both"/>
      </w:pPr>
      <w:r>
        <w:rPr>
          <w:rFonts w:ascii="Times New Roman" w:cs="Times New Roman" w:eastAsia="Times New Roman" w:hAnsi="Times New Roman"/>
          <w:b w:val="false"/>
          <w:bCs w:val="false"/>
          <w:i w:val="false"/>
          <w:iCs w:val="false"/>
          <w:sz w:val="20"/>
          <w:szCs w:val="20"/>
        </w:rPr>
        <w:t xml:space="preserve">Algorithm 1 encapsulates the complete in-pod stream interception, sanitization, vaulting, and autonomous containment loop.</w:t>
      </w:r>
    </w:p>
    <w:tbl>
      <w:tblPr>
        <w:tblW w:type="dxa" w:w="5040"/>
        <w:tblBorders>
          <w:top w:val="single" w:color="000000" w:sz="6"/>
          <w:left w:val="none" w:color="FFFFFF" w:sz="0"/>
          <w:bottom w:val="single" w:color="000000" w:sz="6"/>
          <w:right w:val="none" w:color="FFFFFF" w:sz="0"/>
          <w:insideH w:val="none" w:color="FFFFFF" w:sz="0"/>
          <w:insideV w:val="none" w:color="FFFFFF" w:sz="0"/>
        </w:tblBorders>
      </w:tblPr>
      <w:tblGrid>
        <w:gridCol w:w="5040"/>
      </w:tblGrid>
      <w:tr>
        <w:tc>
          <w:tcPr>
            <w:tcW w:type="dxa" w:w="5040"/>
            <w:tcMar>
              <w:top w:type="dxa" w:w="20"/>
              <w:left w:type="dxa" w:w="40"/>
              <w:bottom w:type="dxa" w:w="20"/>
              <w:right w:type="dxa" w:w="40"/>
            </w:tcMar>
          </w:tcPr>
          <w:p>
            <w:pPr>
              <w:pStyle w:val="TableText"/>
              <w:pBdr>
                <w:bottom w:val="single" w:color="000000" w:sz="4"/>
              </w:pBdr>
              <w:spacing w:after="20"/>
            </w:pPr>
            <w:r>
              <w:rPr>
                <w:rFonts w:ascii="Times New Roman" w:cs="Times New Roman" w:eastAsia="Times New Roman" w:hAnsi="Times New Roman"/>
                <w:b/>
                <w:bCs/>
                <w:i w:val="false"/>
                <w:iCs w:val="false"/>
                <w:sz w:val="16"/>
                <w:szCs w:val="16"/>
              </w:rPr>
              <w:t xml:space="preserve">Algorithm 1</w:t>
            </w:r>
            <w:r>
              <w:rPr>
                <w:rFonts w:ascii="Times New Roman" w:cs="Times New Roman" w:eastAsia="Times New Roman" w:hAnsi="Times New Roman"/>
                <w:b w:val="false"/>
                <w:bCs w:val="false"/>
                <w:i w:val="false"/>
                <w:iCs w:val="false"/>
                <w:sz w:val="16"/>
                <w:szCs w:val="16"/>
              </w:rPr>
              <w:t xml:space="preserve"> In-Pod Stream Interception and Autonomous Containment</w:t>
            </w:r>
          </w:p>
          <w:p>
            <w:pPr>
              <w:pStyle w:val="TableText"/>
              <w:spacing w:after="0"/>
            </w:pPr>
            <w:r>
              <w:rPr>
                <w:rFonts w:ascii="Times New Roman" w:cs="Times New Roman" w:eastAsia="Times New Roman" w:hAnsi="Times New Roman"/>
                <w:b/>
                <w:bCs/>
                <w:i w:val="false"/>
                <w:iCs w:val="false"/>
                <w:sz w:val="16"/>
                <w:szCs w:val="16"/>
              </w:rPr>
              <w:t xml:space="preserve">Require:</w:t>
            </w:r>
            <w:r>
              <w:rPr>
                <w:rFonts w:ascii="Times New Roman" w:cs="Times New Roman" w:eastAsia="Times New Roman" w:hAnsi="Times New Roman"/>
                <w:b w:val="false"/>
                <w:bCs w:val="false"/>
                <w:i w:val="false"/>
                <w:iCs w:val="false"/>
                <w:sz w:val="16"/>
                <w:szCs w:val="16"/>
              </w:rPr>
              <w:t xml:space="preserve"> Log path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rPr>
              <w:t xml:space="preserve">, dictionary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vertAlign w:val="subscript"/>
              </w:rPr>
              <w:t xml:space="preserve">keys</w:t>
            </w:r>
            <w:r>
              <w:rPr>
                <w:rFonts w:ascii="Times New Roman" w:cs="Times New Roman" w:eastAsia="Times New Roman" w:hAnsi="Times New Roman"/>
                <w:b w:val="false"/>
                <w:bCs w:val="false"/>
                <w:i w:val="false"/>
                <w:iCs w:val="false"/>
                <w:sz w:val="16"/>
                <w:szCs w:val="16"/>
              </w:rPr>
              <w:t xml:space="preserve">, weights </w:t>
            </w:r>
            <w:r>
              <w:rPr>
                <w:rFonts w:ascii="Times New Roman" w:cs="Times New Roman" w:eastAsia="Times New Roman" w:hAnsi="Times New Roman"/>
                <w:b/>
                <w:bCs/>
                <w:i w:val="false"/>
                <w:iCs w:val="false"/>
                <w:sz w:val="16"/>
                <w:szCs w:val="16"/>
              </w:rPr>
              <w:t xml:space="preserve">w</w:t>
            </w:r>
            <w:r>
              <w:rPr>
                <w:rFonts w:ascii="Times New Roman" w:cs="Times New Roman" w:eastAsia="Times New Roman" w:hAnsi="Times New Roman"/>
                <w:b w:val="false"/>
                <w:bCs w:val="false"/>
                <w:i w:val="false"/>
                <w:iCs w:val="false"/>
                <w:sz w:val="16"/>
                <w:szCs w:val="16"/>
              </w:rPr>
              <w:t xml:space="preserve">, key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lineage</w:t>
            </w:r>
          </w:p>
          <w:p>
            <w:pPr>
              <w:pStyle w:val="TableText"/>
              <w:pBdr>
                <w:bottom w:val="single" w:color="000000" w:sz="4"/>
              </w:pBdr>
              <w:spacing w:after="20"/>
            </w:pPr>
            <w:r>
              <w:rPr>
                <w:rFonts w:ascii="Times New Roman" w:cs="Times New Roman" w:eastAsia="Times New Roman" w:hAnsi="Times New Roman"/>
                <w:b/>
                <w:bCs/>
                <w:i w:val="false"/>
                <w:iCs w:val="false"/>
                <w:sz w:val="16"/>
                <w:szCs w:val="16"/>
              </w:rPr>
              <w:t xml:space="preserve">Ensure:</w:t>
            </w:r>
            <w:r>
              <w:rPr>
                <w:rFonts w:ascii="Times New Roman" w:cs="Times New Roman" w:eastAsia="Times New Roman" w:hAnsi="Times New Roman"/>
                <w:b w:val="false"/>
                <w:bCs w:val="false"/>
                <w:i w:val="false"/>
                <w:iCs w:val="false"/>
                <w:sz w:val="16"/>
                <w:szCs w:val="16"/>
              </w:rPr>
              <w:t xml:space="preserve"> Sanitized logs to stdout; automated containment actions</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	Open file descriptor </w:t>
            </w:r>
            <w:r>
              <w:rPr>
                <w:rFonts w:ascii="Times New Roman" w:cs="Times New Roman" w:eastAsia="Times New Roman" w:hAnsi="Times New Roman"/>
                <w:b w:val="false"/>
                <w:bCs w:val="false"/>
                <w:i/>
                <w:iCs/>
                <w:sz w:val="16"/>
                <w:szCs w:val="16"/>
              </w:rPr>
              <w:t xml:space="preserve">fd</w:t>
            </w:r>
            <w:r>
              <w:rPr>
                <w:rFonts w:ascii="Times New Roman" w:cs="Times New Roman" w:eastAsia="Times New Roman" w:hAnsi="Times New Roman"/>
                <w:b w:val="false"/>
                <w:bCs w:val="false"/>
                <w:i w:val="false"/>
                <w:iCs w:val="false"/>
                <w:sz w:val="16"/>
                <w:szCs w:val="16"/>
              </w:rPr>
              <w:t xml:space="preserve"> ← tail(</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bCs/>
                <w:i w:val="false"/>
                <w:iCs w:val="false"/>
                <w:sz w:val="16"/>
                <w:szCs w:val="16"/>
              </w:rPr>
              <w:t xml:space="preserve">while</w:t>
            </w:r>
            <w:r>
              <w:rPr>
                <w:rFonts w:ascii="Times New Roman" w:cs="Times New Roman" w:eastAsia="Times New Roman" w:hAnsi="Times New Roman"/>
                <w:b w:val="false"/>
                <w:bCs w:val="false"/>
                <w:i w:val="false"/>
                <w:iCs w:val="false"/>
                <w:sz w:val="16"/>
                <w:szCs w:val="16"/>
              </w:rPr>
              <w:t xml:space="preserve"> true </w:t>
            </w:r>
            <w:r>
              <w:rPr>
                <w:rFonts w:ascii="Times New Roman" w:cs="Times New Roman" w:eastAsia="Times New Roman" w:hAnsi="Times New Roman"/>
                <w:b/>
                <w:bCs/>
                <w:i w:val="false"/>
                <w:iCs w:val="false"/>
                <w:sz w:val="16"/>
                <w:szCs w:val="16"/>
              </w:rPr>
              <w:t xml:space="preserve">do</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 ← ReadLine(</w:t>
            </w:r>
            <w:r>
              <w:rPr>
                <w:rFonts w:ascii="Times New Roman" w:cs="Times New Roman" w:eastAsia="Times New Roman" w:hAnsi="Times New Roman"/>
                <w:b w:val="false"/>
                <w:bCs w:val="false"/>
                <w:i/>
                <w:iCs/>
                <w:sz w:val="16"/>
                <w:szCs w:val="16"/>
              </w:rPr>
              <w:t xml:space="preserve">fd</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 = EOF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5:	Sleep(10 ms); </w:t>
            </w:r>
            <w:r>
              <w:rPr>
                <w:rFonts w:ascii="Times New Roman" w:cs="Times New Roman" w:eastAsia="Times New Roman" w:hAnsi="Times New Roman"/>
                <w:b/>
                <w:bCs/>
                <w:i w:val="false"/>
                <w:iCs w:val="false"/>
                <w:sz w:val="16"/>
                <w:szCs w:val="16"/>
              </w:rPr>
              <w:t xml:space="preserve">continue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norm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fused</w:t>
            </w:r>
            <w:r>
              <w:rPr>
                <w:rFonts w:ascii="Times New Roman" w:cs="Times New Roman" w:eastAsia="Times New Roman" w:hAnsi="Times New Roman"/>
                <w:b w:val="false"/>
                <w:bCs w:val="false"/>
                <w:i w:val="false"/>
                <w:iCs w:val="false"/>
                <w:sz w:val="16"/>
                <w:szCs w:val="16"/>
              </w:rPr>
              <w:t xml:space="preserve">) ← PreprocessAndFuse(</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AhoCorasickScan(</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norm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vertAlign w:val="subscript"/>
              </w:rPr>
              <w:t xml:space="preserve">keys</w:t>
            </w:r>
            <w:r>
              <w:rPr>
                <w:rFonts w:ascii="Times New Roman" w:cs="Times New Roman" w:eastAsia="Times New Roman" w:hAnsi="Times New Roman"/>
                <w:b w:val="false"/>
                <w:bCs w:val="false"/>
                <w:i w:val="false"/>
                <w:iCs w:val="false"/>
                <w:sz w:val="16"/>
                <w:szCs w:val="16"/>
              </w:rPr>
              <w:t xml:space="preserve">) = ∅ </w:t>
            </w:r>
            <w:r>
              <w:rPr>
                <w:rFonts w:ascii="Times New Roman" w:cs="Times New Roman" w:eastAsia="Times New Roman" w:hAnsi="Times New Roman"/>
                <w:b/>
                <w:bCs/>
                <w:i w:val="false"/>
                <w:iCs w:val="false"/>
                <w:sz w:val="16"/>
                <w:szCs w:val="16"/>
              </w:rPr>
              <w:t xml:space="preserve">and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fused</w:t>
            </w:r>
            <w:r>
              <w:rPr>
                <w:rFonts w:ascii="Times New Roman" w:cs="Times New Roman" w:eastAsia="Times New Roman" w:hAnsi="Times New Roman"/>
                <w:b w:val="false"/>
                <w:bCs w:val="false"/>
                <w:i w:val="false"/>
                <w:iCs w:val="false"/>
                <w:sz w:val="16"/>
                <w:szCs w:val="16"/>
              </w:rPr>
              <w:t xml:space="preserve">| = 0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9:	PrintStdout(</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continue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11: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ctx</w:t>
            </w:r>
            <w:r>
              <w:rPr>
                <w:rFonts w:ascii="Times New Roman" w:cs="Times New Roman" w:eastAsia="Times New Roman" w:hAnsi="Times New Roman"/>
                <w:b w:val="false"/>
                <w:bCs w:val="false"/>
                <w:i w:val="false"/>
                <w:iCs w:val="false"/>
                <w:sz w:val="16"/>
                <w:szCs w:val="16"/>
              </w:rPr>
              <w:t xml:space="preserve"> ← EvaluateContext(</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norm</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12: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cand</w:t>
            </w:r>
            <w:r>
              <w:rPr>
                <w:rFonts w:ascii="Times New Roman" w:cs="Times New Roman" w:eastAsia="Times New Roman" w:hAnsi="Times New Roman"/>
                <w:b w:val="false"/>
                <w:bCs w:val="false"/>
                <w:i w:val="false"/>
                <w:iCs w:val="false"/>
                <w:sz w:val="16"/>
                <w:szCs w:val="16"/>
              </w:rPr>
              <w:t xml:space="preserve"> ← ExtractCandidates(</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norm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vertAlign w:val="subscript"/>
              </w:rPr>
              <w:t xml:space="preserve">fused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ctx</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13: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L</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14:	</w:t>
            </w:r>
            <w:r>
              <w:rPr>
                <w:rFonts w:ascii="Times New Roman" w:cs="Times New Roman" w:eastAsia="Times New Roman" w:hAnsi="Times New Roman"/>
                <w:b/>
                <w:bCs/>
                <w:i w:val="false"/>
                <w:iCs w:val="false"/>
                <w:sz w:val="16"/>
                <w:szCs w:val="16"/>
              </w:rPr>
              <w:t xml:space="preserve">for all</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cand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15:	</w:t>
            </w:r>
            <w:r>
              <w:rPr>
                <w:rFonts w:ascii="Times New Roman" w:cs="Times New Roman" w:eastAsia="Times New Roman" w:hAnsi="Times New Roman"/>
                <w:b/>
                <w:bCs/>
                <w:i w:val="false"/>
                <w:iCs w:val="false"/>
                <w:sz w:val="16"/>
                <w:szCs w:val="16"/>
              </w:rPr>
              <w:t xml:space="preserve">x</w:t>
            </w:r>
            <w:r>
              <w:rPr>
                <w:rFonts w:ascii="Times New Roman" w:cs="Times New Roman" w:eastAsia="Times New Roman" w:hAnsi="Times New Roman"/>
                <w:b w:val="false"/>
                <w:bCs w:val="false"/>
                <w:i w:val="false"/>
                <w:iCs w:val="false"/>
                <w:sz w:val="16"/>
                <w:szCs w:val="16"/>
              </w:rPr>
              <w:t xml:space="preserve"> ← BuildFeatureVector(</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norm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ctx</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16: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min(100, ∑</w:t>
            </w:r>
            <w:r>
              <w:rPr>
                <w:rFonts w:ascii="Times New Roman" w:cs="Times New Roman" w:eastAsia="Times New Roman" w:hAnsi="Times New Roman"/>
                <w:b w:val="false"/>
                <w:bCs w:val="false"/>
                <w:i/>
                <w:iCs/>
                <w:sz w:val="16"/>
                <w:szCs w:val="16"/>
                <w:vertAlign w:val="subscript"/>
              </w:rPr>
              <w:t xml:space="preserve">i</w:t>
            </w:r>
            <w:r>
              <w:rPr>
                <w:rFonts w:ascii="Times New Roman" w:cs="Times New Roman" w:eastAsia="Times New Roman" w:hAnsi="Times New Roman"/>
                <w:b w:val="false"/>
                <w:bCs w:val="false"/>
                <w:i w:val="false"/>
                <w:iCs w:val="false"/>
                <w:sz w:val="16"/>
                <w:szCs w:val="16"/>
                <w:vertAlign w:val="subscript"/>
              </w:rPr>
              <w:t xml:space="preserve">=1</w:t>
            </w:r>
            <w:r>
              <w:rPr>
                <w:rFonts w:ascii="Times New Roman" w:cs="Times New Roman" w:eastAsia="Times New Roman" w:hAnsi="Times New Roman"/>
                <w:b w:val="false"/>
                <w:bCs w:val="false"/>
                <w:i w:val="false"/>
                <w:iCs w:val="false"/>
                <w:sz w:val="16"/>
                <w:szCs w:val="16"/>
                <w:vertAlign w:val="superscript"/>
              </w:rPr>
              <w:t xml:space="preserve">6</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w</w:t>
            </w:r>
            <w:r>
              <w:rPr>
                <w:rFonts w:ascii="Times New Roman" w:cs="Times New Roman" w:eastAsia="Times New Roman" w:hAnsi="Times New Roman"/>
                <w:b w:val="false"/>
                <w:bCs w:val="false"/>
                <w:i/>
                <w:iCs/>
                <w:sz w:val="16"/>
                <w:szCs w:val="16"/>
                <w:vertAlign w:val="subscript"/>
              </w:rPr>
              <w:t xml:space="preserve">i</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x</w:t>
            </w:r>
            <w:r>
              <w:rPr>
                <w:rFonts w:ascii="Times New Roman" w:cs="Times New Roman" w:eastAsia="Times New Roman" w:hAnsi="Times New Roman"/>
                <w:b w:val="false"/>
                <w:bCs w:val="false"/>
                <w:i/>
                <w:iCs/>
                <w:sz w:val="16"/>
                <w:szCs w:val="16"/>
                <w:vertAlign w:val="subscript"/>
              </w:rPr>
              <w:t xml:space="preserve">i</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17: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80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18:	RefID ← GenerateRefID()</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19:	VaultInsert(RefID,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20:	</w:t>
            </w: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i w:val="false"/>
                <w:iCs w:val="false"/>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 ← HMAC-SHA256(</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lineage</w:t>
            </w:r>
            <w:r>
              <w:rPr>
                <w:rFonts w:ascii="Times New Roman" w:cs="Times New Roman" w:eastAsia="Times New Roman" w:hAnsi="Times New Roman"/>
                <w:b w:val="false"/>
                <w:bCs w:val="false"/>
                <w:i w:val="false"/>
                <w:iCs w:val="false"/>
                <w:sz w:val="16"/>
                <w:szCs w:val="16"/>
              </w:rPr>
              <w:t xml:space="preserve">, Canonicalize(</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21: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i w:val="false"/>
                <w:iCs w:val="false"/>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E</w:t>
            </w:r>
            <w:r>
              <w:rPr>
                <w:rFonts w:ascii="Times New Roman" w:cs="Times New Roman" w:eastAsia="Times New Roman" w:hAnsi="Times New Roman"/>
                <w:b w:val="false"/>
                <w:bCs w:val="false"/>
                <w:i w:val="false"/>
                <w:iCs w:val="false"/>
                <w:sz w:val="16"/>
                <w:szCs w:val="16"/>
                <w:vertAlign w:val="subscript"/>
              </w:rPr>
              <w:t xml:space="preserve">exempt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1100" w:hanging="300"/>
            </w:pPr>
            <w:r>
              <w:rPr>
                <w:rFonts w:ascii="Times New Roman" w:cs="Times New Roman" w:eastAsia="Times New Roman" w:hAnsi="Times New Roman"/>
                <w:b w:val="false"/>
                <w:bCs w:val="false"/>
                <w:i w:val="false"/>
                <w:iCs w:val="false"/>
                <w:sz w:val="16"/>
                <w:szCs w:val="16"/>
              </w:rPr>
              <w:t xml:space="preserve">22:	LineageRecord(</w:t>
            </w: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i w:val="false"/>
                <w:iCs w:val="false"/>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 PodUID, Namespace)</w:t>
            </w:r>
          </w:p>
          <w:p>
            <w:pPr>
              <w:pStyle w:val="TableText"/>
              <w:tabs>
                <w:tab w:val="left" w:pos="300"/>
              </w:tabs>
              <w:ind w:left="1100" w:hanging="300"/>
            </w:pPr>
            <w:r>
              <w:rPr>
                <w:rFonts w:ascii="Times New Roman" w:cs="Times New Roman" w:eastAsia="Times New Roman" w:hAnsi="Times New Roman"/>
                <w:b w:val="false"/>
                <w:bCs w:val="false"/>
                <w:i w:val="false"/>
                <w:iCs w:val="false"/>
                <w:sz w:val="16"/>
                <w:szCs w:val="16"/>
              </w:rPr>
              <w:t xml:space="preserve">23:	AssessAndContain(RefID, </w:t>
            </w:r>
            <w:r>
              <w:rPr>
                <w:rFonts w:ascii="Times New Roman" w:cs="Times New Roman" w:eastAsia="Times New Roman" w:hAnsi="Times New Roman"/>
                <w:b w:val="false"/>
                <w:bCs w:val="false"/>
                <w:i/>
                <w:iCs/>
                <w:sz w:val="16"/>
                <w:szCs w:val="16"/>
              </w:rPr>
              <w:t xml:space="preserve">φ</w:t>
            </w:r>
            <w:r>
              <w:rPr>
                <w:rFonts w:ascii="Times New Roman" w:cs="Times New Roman" w:eastAsia="Times New Roman" w:hAnsi="Times New Roman"/>
                <w:b w:val="false"/>
                <w:bCs w:val="false"/>
                <w:i w:val="false"/>
                <w:iCs w:val="false"/>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 Category(</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24: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25: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 Replace(</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.raw_slice, [REDACTED: RefID])</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26:	</w:t>
            </w:r>
            <w:r>
              <w:rPr>
                <w:rFonts w:ascii="Times New Roman" w:cs="Times New Roman" w:eastAsia="Times New Roman" w:hAnsi="Times New Roman"/>
                <w:b/>
                <w:bCs/>
                <w:i w:val="false"/>
                <w:iCs w:val="false"/>
                <w:sz w:val="16"/>
                <w:szCs w:val="16"/>
              </w:rPr>
              <w:t xml:space="preserve">else if</w:t>
            </w:r>
            <w:r>
              <w:rPr>
                <w:rFonts w:ascii="Times New Roman" w:cs="Times New Roman" w:eastAsia="Times New Roman" w:hAnsi="Times New Roman"/>
                <w:b w:val="false"/>
                <w:bCs w:val="false"/>
                <w:i w:val="false"/>
                <w:iCs w:val="false"/>
                <w:sz w:val="16"/>
                <w:szCs w:val="16"/>
              </w:rPr>
              <w:t xml:space="preserve"> 50 ≤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&lt; 80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900" w:hanging="300"/>
            </w:pPr>
            <w:r>
              <w:rPr>
                <w:rFonts w:ascii="Times New Roman" w:cs="Times New Roman" w:eastAsia="Times New Roman" w:hAnsi="Times New Roman"/>
                <w:b w:val="false"/>
                <w:bCs w:val="false"/>
                <w:i w:val="false"/>
                <w:iCs w:val="false"/>
                <w:sz w:val="16"/>
                <w:szCs w:val="16"/>
              </w:rPr>
              <w:t xml:space="preserve">27: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 AppendTag(</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[FLAGGED:SCS=</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700" w:hanging="300"/>
            </w:pPr>
            <w:r>
              <w:rPr>
                <w:rFonts w:ascii="Times New Roman" w:cs="Times New Roman" w:eastAsia="Times New Roman" w:hAnsi="Times New Roman"/>
                <w:b w:val="false"/>
                <w:bCs w:val="false"/>
                <w:i w:val="false"/>
                <w:iCs w:val="false"/>
                <w:sz w:val="16"/>
                <w:szCs w:val="16"/>
              </w:rPr>
              <w:t xml:space="preserve">28: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29:	</w:t>
            </w:r>
            <w:r>
              <w:rPr>
                <w:rFonts w:ascii="Times New Roman" w:cs="Times New Roman" w:eastAsia="Times New Roman" w:hAnsi="Times New Roman"/>
                <w:b/>
                <w:bCs/>
                <w:i w:val="false"/>
                <w:iCs w:val="false"/>
                <w:sz w:val="16"/>
                <w:szCs w:val="16"/>
              </w:rPr>
              <w:t xml:space="preserve">end for</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30:	PrintStdout(</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val="false"/>
                <w:iCs w:val="false"/>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31:	</w:t>
            </w:r>
            <w:r>
              <w:rPr>
                <w:rFonts w:ascii="Times New Roman" w:cs="Times New Roman" w:eastAsia="Times New Roman" w:hAnsi="Times New Roman"/>
                <w:b/>
                <w:bCs/>
                <w:i w:val="false"/>
                <w:iCs w:val="false"/>
                <w:sz w:val="16"/>
                <w:szCs w:val="16"/>
              </w:rPr>
              <w:t xml:space="preserve">end while</w:t>
            </w:r>
          </w:p>
        </w:tc>
      </w:tr>
    </w:tbl>
    <w:p>
      <w:pPr>
        <w:pStyle w:val="Caption"/>
        <w:spacing w:after="80" w:before="0"/>
      </w:pPr>
    </w:p>
    <w:p>
      <w:pPr>
        <w:pStyle w:val="Heading2"/>
        <w:pStyle w:val="Heading2"/>
      </w:pPr>
      <w:r>
        <w:rPr>
          <w:rFonts w:ascii="Times New Roman" w:cs="Times New Roman" w:eastAsia="Times New Roman" w:hAnsi="Times New Roman"/>
          <w:b w:val="false"/>
          <w:bCs w:val="false"/>
          <w:i/>
          <w:iCs/>
          <w:sz w:val="20"/>
          <w:szCs w:val="20"/>
        </w:rPr>
        <w:t xml:space="preserve">F. Tamper-Evident Cryptographic Audit Ledger with Remote Anchoring</w:t>
      </w:r>
    </w:p>
    <w:p>
      <w:pPr>
        <w:pStyle w:val="Body"/>
        <w:ind w:firstLine="0"/>
        <w:jc w:val="both"/>
      </w:pPr>
      <w:r>
        <w:rPr>
          <w:rFonts w:ascii="Times New Roman" w:cs="Times New Roman" w:eastAsia="Times New Roman" w:hAnsi="Times New Roman"/>
          <w:b w:val="false"/>
          <w:bCs w:val="false"/>
          <w:i w:val="false"/>
          <w:iCs w:val="false"/>
          <w:sz w:val="20"/>
          <w:szCs w:val="20"/>
        </w:rPr>
        <w:t xml:space="preserve">Every administrative and retrieval interaction with the vault is committed to an append-only cryptographic ledger chained sequentially via SHA-256:</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 SHA256(ClusterUID)</w:t>
      </w:r>
      <w:r>
        <w:rPr>
          <w:rFonts w:ascii="Times New Roman" w:cs="Times New Roman" w:eastAsia="Times New Roman" w:hAnsi="Times New Roman"/>
          <w:sz w:val="20"/>
          <w:szCs w:val="20"/>
        </w:rPr>
        <w:t xml:space="preserve">	(13)</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SHA256(</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Actor</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sz w:val="20"/>
          <w:szCs w:val="20"/>
        </w:rPr>
        <w:t xml:space="preserve"/>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Action</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RefID</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 Outcome</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(14)</w:t>
      </w:r>
    </w:p>
    <w:p>
      <w:pPr>
        <w:pStyle w:val="Body"/>
        <w:ind w:firstLine="0"/>
        <w:jc w:val="both"/>
      </w:pPr>
      <w:r>
        <w:rPr>
          <w:rFonts w:ascii="Times New Roman" w:cs="Times New Roman" w:eastAsia="Times New Roman" w:hAnsi="Times New Roman"/>
          <w:b w:val="false"/>
          <w:bCs w:val="false"/>
          <w:i w:val="false"/>
          <w:iCs w:val="false"/>
          <w:sz w:val="20"/>
          <w:szCs w:val="20"/>
        </w:rPr>
        <w:t xml:space="preserve">Each audit entry is committed to SQLite Write-Ahead Logging storage before any decrypted data is released. To prevent a local pod-level adversary from retroactively rewriting both the SQLite records and the local hash head, LogShield incorporates an asynchronous SIEM audit exporter (</w:t>
      </w:r>
      <w:r>
        <w:rPr>
          <w:rFonts w:ascii="Courier New" w:cs="Courier New" w:eastAsia="Courier New" w:hAnsi="Courier New"/>
          <w:b w:val="false"/>
          <w:bCs w:val="false"/>
          <w:i w:val="false"/>
          <w:iCs w:val="false"/>
          <w:sz w:val="18"/>
          <w:szCs w:val="18"/>
        </w:rPr>
        <w:t xml:space="preserve">AuditExporter</w:t>
      </w:r>
      <w:r>
        <w:rPr>
          <w:rFonts w:ascii="Times New Roman" w:cs="Times New Roman" w:eastAsia="Times New Roman" w:hAnsi="Times New Roman"/>
          <w:b w:val="false"/>
          <w:bCs w:val="false"/>
          <w:i w:val="false"/>
          <w:iCs w:val="false"/>
          <w:sz w:val="20"/>
          <w:szCs w:val="20"/>
        </w:rPr>
        <w:t xml:space="preserve">); the exporter flushes structured Elastic Common Schema (ECS) entries covering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and an HMAC signature to an external immutable monitoring store (e.g., AWS S3 Object Lock, an external Splunk/Elasticsearch cluster, or Kubernetes Events).</w:t>
      </w:r>
    </w:p>
    <w:p>
      <w:pPr>
        <w:pStyle w:val="Body"/>
        <w:jc w:val="both"/>
      </w:pPr>
      <w:r>
        <w:rPr>
          <w:rFonts w:ascii="Times New Roman" w:cs="Times New Roman" w:eastAsia="Times New Roman" w:hAnsi="Times New Roman"/>
          <w:b/>
          <w:bCs/>
          <w:i w:val="false"/>
          <w:iCs w:val="false"/>
          <w:sz w:val="20"/>
          <w:szCs w:val="20"/>
        </w:rPr>
        <w:t xml:space="preserve">Theorem 1 (Tamper-Evident Ledger Integrity with Remote Anchoring):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An adversary 𝒜 gaining root access to the sidecar database at time T &gt; t</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iCs/>
          <w:sz w:val="20"/>
          <w:szCs w:val="20"/>
        </w:rPr>
        <w:t xml:space="preserve"> cannot alter historical audit record A</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iCs/>
          <w:sz w:val="20"/>
          <w:szCs w:val="20"/>
        </w:rPr>
        <w:t xml:space="preserve"> (j ≤ k) without detection, provided that the external anchor head H</w:t>
      </w:r>
      <w:r>
        <w:rPr>
          <w:rFonts w:ascii="Times New Roman" w:cs="Times New Roman" w:eastAsia="Times New Roman" w:hAnsi="Times New Roman"/>
          <w:b w:val="false"/>
          <w:bCs w:val="false"/>
          <w:i/>
          <w:iCs/>
          <w:sz w:val="20"/>
          <w:szCs w:val="20"/>
          <w:vertAlign w:val="subscript"/>
        </w:rPr>
        <w:t xml:space="preserve">anchor</w:t>
      </w:r>
      <w:r>
        <w:rPr>
          <w:rFonts w:ascii="Times New Roman" w:cs="Times New Roman" w:eastAsia="Times New Roman" w:hAnsi="Times New Roman"/>
          <w:b w:val="false"/>
          <w:bCs w:val="false"/>
          <w:i/>
          <w:iCs/>
          <w:sz w:val="20"/>
          <w:szCs w:val="20"/>
        </w:rPr>
        <w:t xml:space="preserve"> = 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iCs/>
          <w:sz w:val="20"/>
          <w:szCs w:val="20"/>
        </w:rPr>
        <w:t xml:space="preserve"> was published to the external SIEM before T.</w:t>
      </w:r>
    </w:p>
    <w:p>
      <w:pPr>
        <w:pStyle w:val="Body"/>
        <w:jc w:val="both"/>
      </w:pPr>
      <w:r>
        <w:rPr>
          <w:rFonts w:ascii="Times New Roman" w:cs="Times New Roman" w:eastAsia="Times New Roman" w:hAnsi="Times New Roman"/>
          <w:b w:val="false"/>
          <w:bCs w:val="false"/>
          <w:i/>
          <w:iCs/>
          <w:sz w:val="20"/>
          <w:szCs w:val="20"/>
        </w:rPr>
        <w:t xml:space="preserve">Proof:</w:t>
      </w:r>
      <w:r>
        <w:rPr>
          <w:rFonts w:ascii="Times New Roman" w:cs="Times New Roman" w:eastAsia="Times New Roman" w:hAnsi="Times New Roman"/>
          <w:b w:val="false"/>
          <w:bCs w:val="false"/>
          <w:i w:val="false"/>
          <w:iCs w:val="false"/>
          <w:sz w:val="20"/>
          <w:szCs w:val="20"/>
        </w:rPr>
        <w:t xml:space="preserve"> Let the recorded local hash chain be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and suppose 𝒜 replaces record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with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The modified hash at position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becomes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SHA256(</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Because SHA-256 is second-preimage resistant,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with probability 1 − 2</w:t>
      </w:r>
      <w:r>
        <w:rPr>
          <w:rFonts w:ascii="Times New Roman" w:cs="Times New Roman" w:eastAsia="Times New Roman" w:hAnsi="Times New Roman"/>
          <w:b w:val="false"/>
          <w:bCs w:val="false"/>
          <w:i w:val="false"/>
          <w:iCs w:val="false"/>
          <w:sz w:val="20"/>
          <w:szCs w:val="20"/>
          <w:vertAlign w:val="superscript"/>
        </w:rPr>
        <w:t xml:space="preserve">−256</w:t>
      </w:r>
      <w:r>
        <w:rPr>
          <w:rFonts w:ascii="Times New Roman" w:cs="Times New Roman" w:eastAsia="Times New Roman" w:hAnsi="Times New Roman"/>
          <w:b w:val="false"/>
          <w:bCs w:val="false"/>
          <w:i w:val="false"/>
          <w:iCs w:val="false"/>
          <w:sz w:val="20"/>
          <w:szCs w:val="20"/>
        </w:rPr>
        <w:t xml:space="preserve">. For the locally altered chain to match the published anchor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vertAlign w:val="subscript"/>
        </w:rPr>
        <w:t xml:space="preserve">anchor</w:t>
      </w:r>
      <w:r>
        <w:rPr>
          <w:rFonts w:ascii="Times New Roman" w:cs="Times New Roman" w:eastAsia="Times New Roman" w:hAnsi="Times New Roman"/>
          <w:b w:val="false"/>
          <w:bCs w:val="false"/>
          <w:i w:val="false"/>
          <w:iCs w:val="false"/>
          <w:sz w:val="20"/>
          <w:szCs w:val="20"/>
        </w:rPr>
        <w:t xml:space="preserve"> held securely in external storage, 𝒜 must find preimages for every ensuing block </w:t>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+ 1,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Computing such preimages requires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vertAlign w:val="superscript"/>
        </w:rPr>
        <w:t xml:space="preserve">256</w:t>
      </w:r>
      <w:r>
        <w:rPr>
          <w:rFonts w:ascii="Times New Roman" w:cs="Times New Roman" w:eastAsia="Times New Roman" w:hAnsi="Times New Roman"/>
          <w:b w:val="false"/>
          <w:bCs w:val="false"/>
          <w:i w:val="false"/>
          <w:iCs w:val="false"/>
          <w:sz w:val="20"/>
          <w:szCs w:val="20"/>
        </w:rPr>
        <w:t xml:space="preserve">) cryptographic hash evaluations, which is computationally infeasible. Any adjustment or truncation is therefore detected by </w:t>
      </w:r>
      <w:r>
        <w:rPr>
          <w:rFonts w:ascii="Courier New" w:cs="Courier New" w:eastAsia="Courier New" w:hAnsi="Courier New"/>
          <w:b w:val="false"/>
          <w:bCs w:val="false"/>
          <w:i w:val="false"/>
          <w:iCs w:val="false"/>
          <w:sz w:val="18"/>
          <w:szCs w:val="18"/>
        </w:rPr>
        <w:t xml:space="preserve">verify_audit_chain()</w:t>
      </w:r>
      <w:r>
        <w:rPr>
          <w:rFonts w:ascii="Times New Roman" w:cs="Times New Roman" w:eastAsia="Times New Roman" w:hAnsi="Times New Roman"/>
          <w:b w:val="false"/>
          <w:bCs w:val="false"/>
          <w:i w:val="false"/>
          <w:iCs w:val="false"/>
          <w:sz w:val="20"/>
          <w:szCs w:val="20"/>
        </w:rPr>
        <w:t xml:space="preserve">, which locates the exact index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 where the chain was broken. ∎</w:t>
      </w:r>
    </w:p>
    <w:p>
      <w:pPr>
        <w:pStyle w:val="Heading1"/>
        <w:pStyle w:val="Heading1"/>
      </w:pPr>
      <w:r>
        <w:rPr>
          <w:rFonts w:ascii="Times New Roman" w:cs="Times New Roman" w:eastAsia="Times New Roman" w:hAnsi="Times New Roman"/>
          <w:smallCaps/>
          <w:sz w:val="20"/>
          <w:szCs w:val="20"/>
        </w:rPr>
        <w:t xml:space="preserve">VI. </w:t>
      </w:r>
      <w:r>
        <w:rPr>
          <w:rFonts w:ascii="Times New Roman" w:cs="Times New Roman" w:eastAsia="Times New Roman" w:hAnsi="Times New Roman"/>
          <w:smallCaps/>
          <w:sz w:val="20"/>
          <w:szCs w:val="20"/>
        </w:rPr>
        <w:t xml:space="preserve">SecureReveal Vault Architecture</w:t>
      </w:r>
    </w:p>
    <w:p>
      <w:pPr>
        <w:pStyle w:val="Heading2"/>
        <w:pStyle w:val="Heading2"/>
      </w:pPr>
      <w:r>
        <w:rPr>
          <w:rFonts w:ascii="Times New Roman" w:cs="Times New Roman" w:eastAsia="Times New Roman" w:hAnsi="Times New Roman"/>
          <w:b w:val="false"/>
          <w:bCs w:val="false"/>
          <w:i/>
          <w:iCs/>
          <w:sz w:val="20"/>
          <w:szCs w:val="20"/>
        </w:rPr>
        <w:t xml:space="preserve">A. Authenticated Storage Specification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SecureReveal Vault stores credentials locally in SQLite under WAL mode. Each masked credential receives an opaque reference identifier:</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RefID = SEC-‖Hex(</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vertAlign w:val="subscript"/>
        </w:rPr>
        <w:t xml:space="preserve">8</w:t>
      </w:r>
      <w:r>
        <w:rPr>
          <w:rFonts w:ascii="Times New Roman" w:cs="Times New Roman" w:eastAsia="Times New Roman" w:hAnsi="Times New Roman"/>
          <w:sz w:val="20"/>
          <w:szCs w:val="20"/>
        </w:rPr>
        <w:t xml:space="preserve">	(15)</w:t>
      </w:r>
    </w:p>
    <w:p>
      <w:pPr>
        <w:pStyle w:val="Body"/>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 {0, 1}</w:t>
      </w:r>
      <w:r>
        <w:rPr>
          <w:rFonts w:ascii="Times New Roman" w:cs="Times New Roman" w:eastAsia="Times New Roman" w:hAnsi="Times New Roman"/>
          <w:b w:val="false"/>
          <w:bCs w:val="false"/>
          <w:i w:val="false"/>
          <w:iCs w:val="false"/>
          <w:sz w:val="20"/>
          <w:szCs w:val="20"/>
          <w:vertAlign w:val="superscript"/>
        </w:rPr>
        <w:t xml:space="preserve">32</w:t>
      </w:r>
      <w:r>
        <w:rPr>
          <w:rFonts w:ascii="Times New Roman" w:cs="Times New Roman" w:eastAsia="Times New Roman" w:hAnsi="Times New Roman"/>
          <w:b w:val="false"/>
          <w:bCs w:val="false"/>
          <w:i w:val="false"/>
          <w:iCs w:val="false"/>
          <w:sz w:val="20"/>
          <w:szCs w:val="20"/>
        </w:rPr>
        <w:t xml:space="preserve"> is uniformly sampled from a CSPRNG. Encryption is performed using Fernet authenticated symmetric encryption (AES-128 in CBC mode with PKCS7 padding and HMAC-SHA256 authentication):</w:t>
      </w:r>
    </w:p>
    <w:p>
      <w:pPr>
        <w:pStyle w:val="Equation"/>
        <w:tabs>
          <w:tab w:val="center" w:pos="2520"/>
          <w:tab w:val="right" w:pos="5040"/>
        </w:tabs>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Fernet-Encrypt</w:t>
      </w:r>
      <w:r>
        <w:rPr>
          <w:rFonts w:ascii="Times New Roman" w:cs="Times New Roman" w:eastAsia="Times New Roman" w:hAnsi="Times New Roman"/>
          <w:b w:val="false"/>
          <w:bCs w:val="false"/>
          <w:i/>
          <w:iCs/>
          <w:sz w:val="20"/>
          <w:szCs w:val="20"/>
          <w:vertAlign w:val="subscript"/>
        </w:rPr>
        <w:t xml:space="preserve">K</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sz w:val="20"/>
          <w:szCs w:val="20"/>
        </w:rPr>
        <w:t xml:space="preserve">	(16)</w:t>
      </w:r>
    </w:p>
    <w:p>
      <w:pPr>
        <w:pStyle w:val="Body"/>
        <w:ind w:firstLine="0"/>
        <w:jc w:val="both"/>
      </w:pPr>
      <w:r>
        <w:rPr>
          <w:rFonts w:ascii="Times New Roman" w:cs="Times New Roman" w:eastAsia="Times New Roman" w:hAnsi="Times New Roman"/>
          <w:b w:val="false"/>
          <w:bCs w:val="false"/>
          <w:i w:val="false"/>
          <w:iCs w:val="false"/>
          <w:sz w:val="20"/>
          <w:szCs w:val="20"/>
        </w:rPr>
        <w:t xml:space="preserve">where the short-lived 256-bit vault key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 (128 bits encryption + 128 bits HMAC) resides strictly in memory-backed tmpfs RAM. Decryption authenticates the HMAC signature before cipher block processing, preventing chosen-ciphertext and padding oracle attacks; in turn, corrupted or tampered ciphertext bytes trigger immediate retrieval failures and log a </w:t>
      </w:r>
      <w:r>
        <w:rPr>
          <w:rFonts w:ascii="Courier New" w:cs="Courier New" w:eastAsia="Courier New" w:hAnsi="Courier New"/>
          <w:b w:val="false"/>
          <w:bCs w:val="false"/>
          <w:i w:val="false"/>
          <w:iCs w:val="false"/>
          <w:sz w:val="18"/>
          <w:szCs w:val="18"/>
        </w:rPr>
        <w:t xml:space="preserve">TAMPER_DETECTED</w:t>
      </w:r>
      <w:r>
        <w:rPr>
          <w:rFonts w:ascii="Times New Roman" w:cs="Times New Roman" w:eastAsia="Times New Roman" w:hAnsi="Times New Roman"/>
          <w:b w:val="false"/>
          <w:bCs w:val="false"/>
          <w:i w:val="false"/>
          <w:iCs w:val="false"/>
          <w:sz w:val="20"/>
          <w:szCs w:val="20"/>
        </w:rPr>
        <w:t xml:space="preserve"> event in the audit chain.</w:t>
      </w:r>
    </w:p>
    <w:p>
      <w:pPr>
        <w:pStyle w:val="Heading2"/>
        <w:pStyle w:val="Heading2"/>
      </w:pPr>
      <w:r>
        <w:rPr>
          <w:rFonts w:ascii="Times New Roman" w:cs="Times New Roman" w:eastAsia="Times New Roman" w:hAnsi="Times New Roman"/>
          <w:b w:val="false"/>
          <w:bCs w:val="false"/>
          <w:i/>
          <w:iCs/>
          <w:sz w:val="20"/>
          <w:szCs w:val="20"/>
        </w:rPr>
        <w:t xml:space="preserve">B. Multi-Tiered Authentication and Constant-Time Verification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In cloud-native deployments, securing secret retrieval requires separating identity authentication from constant-time authorization verification:</w:t>
      </w:r>
    </w:p>
    <w:p>
      <w:pPr>
        <w:pStyle w:val="ListItem"/>
        <w:numPr>
          <w:ilvl w:val="0"/>
          <w:numId w:val="7"/>
        </w:numPr>
        <w:jc w:val="both"/>
      </w:pPr>
      <w:r>
        <w:rPr>
          <w:rFonts w:ascii="Times New Roman" w:cs="Times New Roman" w:eastAsia="Times New Roman" w:hAnsi="Times New Roman"/>
          <w:b w:val="false"/>
          <w:bCs w:val="false"/>
          <w:i/>
          <w:iCs/>
          <w:sz w:val="20"/>
          <w:szCs w:val="20"/>
        </w:rPr>
        <w:t xml:space="preserve">Workload Authentication (Tier 1):</w:t>
      </w:r>
      <w:r>
        <w:rPr>
          <w:rFonts w:ascii="Times New Roman" w:cs="Times New Roman" w:eastAsia="Times New Roman" w:hAnsi="Times New Roman"/>
          <w:b w:val="false"/>
          <w:bCs w:val="false"/>
          <w:i w:val="false"/>
          <w:iCs w:val="false"/>
          <w:sz w:val="20"/>
          <w:szCs w:val="20"/>
        </w:rPr>
        <w:t xml:space="preserve"> Callers authenticate via </w:t>
      </w:r>
      <w:r>
        <w:rPr>
          <w:rFonts w:ascii="Times New Roman" w:cs="Times New Roman" w:eastAsia="Times New Roman" w:hAnsi="Times New Roman"/>
          <w:b/>
          <w:bCs/>
          <w:i w:val="false"/>
          <w:iCs w:val="false"/>
          <w:sz w:val="20"/>
          <w:szCs w:val="20"/>
        </w:rPr>
        <w:t xml:space="preserve">Kubernetes ServiceAccount Projected Tokens</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/var/run/secrets/kubernetes.io/serviceaccount/token</w:t>
      </w:r>
      <w:r>
        <w:rPr>
          <w:rFonts w:ascii="Times New Roman" w:cs="Times New Roman" w:eastAsia="Times New Roman" w:hAnsi="Times New Roman"/>
          <w:b w:val="false"/>
          <w:bCs w:val="false"/>
          <w:i w:val="false"/>
          <w:iCs w:val="false"/>
          <w:sz w:val="20"/>
          <w:szCs w:val="20"/>
        </w:rPr>
        <w:t xml:space="preserve">) validated against the Kubernetes TokenReview API, or via Mutual TLS (mTLS) with SPIFFE/SPIRE workload certificates.</w:t>
      </w:r>
    </w:p>
    <w:p>
      <w:pPr>
        <w:pStyle w:val="ListItem"/>
        <w:numPr>
          <w:ilvl w:val="0"/>
          <w:numId w:val="7"/>
        </w:numPr>
        <w:jc w:val="both"/>
      </w:pPr>
      <w:r>
        <w:rPr>
          <w:rFonts w:ascii="Times New Roman" w:cs="Times New Roman" w:eastAsia="Times New Roman" w:hAnsi="Times New Roman"/>
          <w:b w:val="false"/>
          <w:bCs w:val="false"/>
          <w:i/>
          <w:iCs/>
          <w:sz w:val="20"/>
          <w:szCs w:val="20"/>
        </w:rPr>
        <w:t xml:space="preserve">Role-Based Scope Authorization (Tier 2):</w:t>
      </w:r>
      <w:r>
        <w:rPr>
          <w:rFonts w:ascii="Times New Roman" w:cs="Times New Roman" w:eastAsia="Times New Roman" w:hAnsi="Times New Roman"/>
          <w:b w:val="false"/>
          <w:bCs w:val="false"/>
          <w:i w:val="false"/>
          <w:iCs w:val="false"/>
          <w:sz w:val="20"/>
          <w:szCs w:val="20"/>
        </w:rPr>
        <w:t xml:space="preserve"> The authenticated identity and namespace are assessed against administrative retrieval policies, ensuring cross-namespace secret access is strictly blocked.</w:t>
      </w:r>
    </w:p>
    <w:p>
      <w:pPr>
        <w:pStyle w:val="ListItem"/>
        <w:numPr>
          <w:ilvl w:val="0"/>
          <w:numId w:val="7"/>
        </w:numPr>
        <w:jc w:val="both"/>
      </w:pPr>
      <w:r>
        <w:rPr>
          <w:rFonts w:ascii="Times New Roman" w:cs="Times New Roman" w:eastAsia="Times New Roman" w:hAnsi="Times New Roman"/>
          <w:b w:val="false"/>
          <w:bCs w:val="false"/>
          <w:i/>
          <w:iCs/>
          <w:sz w:val="20"/>
          <w:szCs w:val="20"/>
        </w:rPr>
        <w:t xml:space="preserve">Constant-Time Verification (Tier 3):</w:t>
      </w:r>
      <w:r>
        <w:rPr>
          <w:rFonts w:ascii="Times New Roman" w:cs="Times New Roman" w:eastAsia="Times New Roman" w:hAnsi="Times New Roman"/>
          <w:b w:val="false"/>
          <w:bCs w:val="false"/>
          <w:i w:val="false"/>
          <w:iCs w:val="false"/>
          <w:sz w:val="20"/>
          <w:szCs w:val="20"/>
        </w:rPr>
        <w:t xml:space="preserve"> To prevent side-channel timing attacks that could allow an attacker to infer valid identity strings, the SecureReveal API verifies caller tokens and identifiers using byte-by-byte constant-time comparisons.</w:t>
      </w:r>
    </w:p>
    <w:p>
      <w:pPr>
        <w:pStyle w:val="Body"/>
        <w:jc w:val="both"/>
      </w:pPr>
      <w:r>
        <w:rPr>
          <w:rFonts w:ascii="Times New Roman" w:cs="Times New Roman" w:eastAsia="Times New Roman" w:hAnsi="Times New Roman"/>
          <w:b w:val="false"/>
          <w:bCs w:val="false"/>
          <w:i w:val="false"/>
          <w:iCs w:val="false"/>
          <w:sz w:val="20"/>
          <w:szCs w:val="20"/>
        </w:rPr>
        <w:t xml:space="preserve">The audit entry is committed to disk before decrypted data is released, preventing unlogged credential access. Algorithm 2 details this audit-first disclosure protocol.</w:t>
      </w:r>
    </w:p>
    <w:tbl>
      <w:tblPr>
        <w:tblW w:type="dxa" w:w="5040"/>
        <w:tblBorders>
          <w:top w:val="single" w:color="000000" w:sz="6"/>
          <w:left w:val="none" w:color="FFFFFF" w:sz="0"/>
          <w:bottom w:val="single" w:color="000000" w:sz="6"/>
          <w:right w:val="none" w:color="FFFFFF" w:sz="0"/>
          <w:insideH w:val="none" w:color="FFFFFF" w:sz="0"/>
          <w:insideV w:val="none" w:color="FFFFFF" w:sz="0"/>
        </w:tblBorders>
      </w:tblPr>
      <w:tblGrid>
        <w:gridCol w:w="5040"/>
      </w:tblGrid>
      <w:tr>
        <w:tc>
          <w:tcPr>
            <w:tcW w:type="dxa" w:w="5040"/>
            <w:tcMar>
              <w:top w:type="dxa" w:w="20"/>
              <w:left w:type="dxa" w:w="40"/>
              <w:bottom w:type="dxa" w:w="20"/>
              <w:right w:type="dxa" w:w="40"/>
            </w:tcMar>
          </w:tcPr>
          <w:p>
            <w:pPr>
              <w:pStyle w:val="TableText"/>
              <w:pBdr>
                <w:bottom w:val="single" w:color="000000" w:sz="4"/>
              </w:pBdr>
              <w:spacing w:after="20"/>
            </w:pPr>
            <w:r>
              <w:rPr>
                <w:rFonts w:ascii="Times New Roman" w:cs="Times New Roman" w:eastAsia="Times New Roman" w:hAnsi="Times New Roman"/>
                <w:b/>
                <w:bCs/>
                <w:i w:val="false"/>
                <w:iCs w:val="false"/>
                <w:sz w:val="16"/>
                <w:szCs w:val="16"/>
              </w:rPr>
              <w:t xml:space="preserve">Algorithm 2</w:t>
            </w:r>
            <w:r>
              <w:rPr>
                <w:rFonts w:ascii="Times New Roman" w:cs="Times New Roman" w:eastAsia="Times New Roman" w:hAnsi="Times New Roman"/>
                <w:b w:val="false"/>
                <w:bCs w:val="false"/>
                <w:i w:val="false"/>
                <w:iCs w:val="false"/>
                <w:sz w:val="16"/>
                <w:szCs w:val="16"/>
              </w:rPr>
              <w:t xml:space="preserve"> SecureReveal Decryption and Audit Logging</w:t>
            </w:r>
          </w:p>
          <w:p>
            <w:pPr>
              <w:pStyle w:val="TableText"/>
              <w:spacing w:after="0"/>
            </w:pPr>
            <w:r>
              <w:rPr>
                <w:rFonts w:ascii="Times New Roman" w:cs="Times New Roman" w:eastAsia="Times New Roman" w:hAnsi="Times New Roman"/>
                <w:b/>
                <w:bCs/>
                <w:i w:val="false"/>
                <w:iCs w:val="false"/>
                <w:sz w:val="16"/>
                <w:szCs w:val="16"/>
              </w:rPr>
              <w:t xml:space="preserve">Require:</w:t>
            </w:r>
            <w:r>
              <w:rPr>
                <w:rFonts w:ascii="Times New Roman" w:cs="Times New Roman" w:eastAsia="Times New Roman" w:hAnsi="Times New Roman"/>
                <w:b w:val="false"/>
                <w:bCs w:val="false"/>
                <w:i w:val="false"/>
                <w:iCs w:val="false"/>
                <w:sz w:val="16"/>
                <w:szCs w:val="16"/>
              </w:rPr>
              <w:t xml:space="preserve"> RefID, actor credentials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Reason, vault key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v</w:t>
            </w:r>
          </w:p>
          <w:p>
            <w:pPr>
              <w:pStyle w:val="TableText"/>
              <w:pBdr>
                <w:bottom w:val="single" w:color="000000" w:sz="4"/>
              </w:pBdr>
              <w:spacing w:after="20"/>
            </w:pPr>
            <w:r>
              <w:rPr>
                <w:rFonts w:ascii="Times New Roman" w:cs="Times New Roman" w:eastAsia="Times New Roman" w:hAnsi="Times New Roman"/>
                <w:b/>
                <w:bCs/>
                <w:i w:val="false"/>
                <w:iCs w:val="false"/>
                <w:sz w:val="16"/>
                <w:szCs w:val="16"/>
              </w:rPr>
              <w:t xml:space="preserve">Ensure:</w:t>
            </w:r>
            <w:r>
              <w:rPr>
                <w:rFonts w:ascii="Times New Roman" w:cs="Times New Roman" w:eastAsia="Times New Roman" w:hAnsi="Times New Roman"/>
                <w:b w:val="false"/>
                <w:bCs w:val="false"/>
                <w:i w:val="false"/>
                <w:iCs w:val="false"/>
                <w:sz w:val="16"/>
                <w:szCs w:val="16"/>
              </w:rPr>
              <w:t xml:space="preserve"> Decrypted plaintext secret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or authorization failure</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CurrentTimestamp()</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2:	CommitAuditEntry(</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RefID, ATTEMPTED)</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bCs/>
                <w:i w:val="false"/>
                <w:iCs w:val="false"/>
                <w:sz w:val="16"/>
                <w:szCs w:val="16"/>
              </w:rPr>
              <w:t xml:space="preserve">if not</w:t>
            </w:r>
            <w:r>
              <w:rPr>
                <w:rFonts w:ascii="Times New Roman" w:cs="Times New Roman" w:eastAsia="Times New Roman" w:hAnsi="Times New Roman"/>
                <w:b w:val="false"/>
                <w:bCs w:val="false"/>
                <w:i w:val="false"/>
                <w:iCs w:val="false"/>
                <w:sz w:val="16"/>
                <w:szCs w:val="16"/>
              </w:rPr>
              <w:t xml:space="preserve"> ConstantTimeVerify(</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AuthorizedActors)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4:	CommitAuditEntry(</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RefID, DENIED)</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return</w:t>
            </w:r>
            <w:r>
              <w:rPr>
                <w:rFonts w:ascii="Times New Roman" w:cs="Times New Roman" w:eastAsia="Times New Roman" w:hAnsi="Times New Roman"/>
                <w:b w:val="false"/>
                <w:bCs w:val="false"/>
                <w:i w:val="false"/>
                <w:iCs w:val="false"/>
                <w:sz w:val="16"/>
                <w:szCs w:val="16"/>
              </w:rPr>
              <w:t xml:space="preserve"> Error(Unauthorized)</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rPr>
              <w:t xml:space="preserve">, expires_at ← FetchVaultRecord(RefID)</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&gt; expires_at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9:	CommitAuditEntry(</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RefID, EXPIRED)</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bCs/>
                <w:i w:val="false"/>
                <w:iCs w:val="false"/>
                <w:sz w:val="16"/>
                <w:szCs w:val="16"/>
              </w:rPr>
              <w:t xml:space="preserve">return</w:t>
            </w:r>
            <w:r>
              <w:rPr>
                <w:rFonts w:ascii="Times New Roman" w:cs="Times New Roman" w:eastAsia="Times New Roman" w:hAnsi="Times New Roman"/>
                <w:b w:val="false"/>
                <w:bCs w:val="false"/>
                <w:i w:val="false"/>
                <w:iCs w:val="false"/>
                <w:sz w:val="16"/>
                <w:szCs w:val="16"/>
              </w:rPr>
              <w:t xml:space="preserve"> Error(Expired)</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11:	</w:t>
            </w:r>
            <w:r>
              <w:rPr>
                <w:rFonts w:ascii="Times New Roman" w:cs="Times New Roman" w:eastAsia="Times New Roman" w:hAnsi="Times New Roman"/>
                <w:b/>
                <w:bCs/>
                <w:i w:val="false"/>
                <w:iCs w:val="false"/>
                <w:sz w:val="16"/>
                <w:szCs w:val="16"/>
              </w:rPr>
              <w:t xml:space="preserve">end if</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12:	</w:t>
            </w:r>
            <w:r>
              <w:rPr>
                <w:rFonts w:ascii="Times New Roman" w:cs="Times New Roman" w:eastAsia="Times New Roman" w:hAnsi="Times New Roman"/>
                <w:b/>
                <w:bCs/>
                <w:i w:val="false"/>
                <w:iCs w:val="false"/>
                <w:sz w:val="16"/>
                <w:szCs w:val="16"/>
              </w:rPr>
              <w:t xml:space="preserve">if</w:t>
            </w:r>
            <w:r>
              <w:rPr>
                <w:rFonts w:ascii="Times New Roman" w:cs="Times New Roman" w:eastAsia="Times New Roman" w:hAnsi="Times New Roman"/>
                <w:b w:val="false"/>
                <w:bCs w:val="false"/>
                <w:i w:val="false"/>
                <w:iCs w:val="false"/>
                <w:sz w:val="16"/>
                <w:szCs w:val="16"/>
              </w:rPr>
              <w:t xml:space="preserve"> ValidateFernetHMAC(</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v</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then</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13: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FernetDecrypt(</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vertAlign w:val="subscript"/>
              </w:rPr>
              <w:t xml:space="preserve">v</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rPr>
              <w:t xml:space="preserv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14:	CommitAuditEntry(</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RefID, SUCCESS)</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15:	</w:t>
            </w:r>
            <w:r>
              <w:rPr>
                <w:rFonts w:ascii="Times New Roman" w:cs="Times New Roman" w:eastAsia="Times New Roman" w:hAnsi="Times New Roman"/>
                <w:b/>
                <w:bCs/>
                <w:i w:val="false"/>
                <w:iCs w:val="false"/>
                <w:sz w:val="16"/>
                <w:szCs w:val="16"/>
              </w:rPr>
              <w:t xml:space="preserve">return</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s</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16:	</w:t>
            </w:r>
            <w:r>
              <w:rPr>
                <w:rFonts w:ascii="Times New Roman" w:cs="Times New Roman" w:eastAsia="Times New Roman" w:hAnsi="Times New Roman"/>
                <w:b/>
                <w:bCs/>
                <w:i w:val="false"/>
                <w:iCs w:val="false"/>
                <w:sz w:val="16"/>
                <w:szCs w:val="16"/>
              </w:rPr>
              <w:t xml:space="preserve">else</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17:	CommitAuditEntry(</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val="false"/>
                <w:iCs w:val="false"/>
                <w:sz w:val="16"/>
                <w:szCs w:val="16"/>
                <w:vertAlign w:val="subscript"/>
              </w:rPr>
              <w:t xml:space="preserve">act</w:t>
            </w:r>
            <w:r>
              <w:rPr>
                <w:rFonts w:ascii="Times New Roman" w:cs="Times New Roman" w:eastAsia="Times New Roman" w:hAnsi="Times New Roman"/>
                <w:b w:val="false"/>
                <w:bCs w:val="false"/>
                <w:i w:val="false"/>
                <w:iCs w:val="false"/>
                <w:sz w:val="16"/>
                <w:szCs w:val="16"/>
              </w:rPr>
              <w:t xml:space="preserve">, RefID, TAMPER_DETECTED)</w:t>
            </w:r>
          </w:p>
          <w:p>
            <w:pPr>
              <w:pStyle w:val="TableText"/>
              <w:tabs>
                <w:tab w:val="left" w:pos="300"/>
              </w:tabs>
              <w:ind w:left="500" w:hanging="300"/>
            </w:pPr>
            <w:r>
              <w:rPr>
                <w:rFonts w:ascii="Times New Roman" w:cs="Times New Roman" w:eastAsia="Times New Roman" w:hAnsi="Times New Roman"/>
                <w:b w:val="false"/>
                <w:bCs w:val="false"/>
                <w:i w:val="false"/>
                <w:iCs w:val="false"/>
                <w:sz w:val="16"/>
                <w:szCs w:val="16"/>
              </w:rPr>
              <w:t xml:space="preserve">18:	</w:t>
            </w:r>
            <w:r>
              <w:rPr>
                <w:rFonts w:ascii="Times New Roman" w:cs="Times New Roman" w:eastAsia="Times New Roman" w:hAnsi="Times New Roman"/>
                <w:b/>
                <w:bCs/>
                <w:i w:val="false"/>
                <w:iCs w:val="false"/>
                <w:sz w:val="16"/>
                <w:szCs w:val="16"/>
              </w:rPr>
              <w:t xml:space="preserve">return</w:t>
            </w:r>
            <w:r>
              <w:rPr>
                <w:rFonts w:ascii="Times New Roman" w:cs="Times New Roman" w:eastAsia="Times New Roman" w:hAnsi="Times New Roman"/>
                <w:b w:val="false"/>
                <w:bCs w:val="false"/>
                <w:i w:val="false"/>
                <w:iCs w:val="false"/>
                <w:sz w:val="16"/>
                <w:szCs w:val="16"/>
              </w:rPr>
              <w:t xml:space="preserve"> Error(Integrity Verification Failed)</w:t>
            </w:r>
          </w:p>
          <w:p>
            <w:pPr>
              <w:pStyle w:val="TableText"/>
              <w:tabs>
                <w:tab w:val="left" w:pos="300"/>
              </w:tabs>
              <w:ind w:left="300" w:hanging="300"/>
            </w:pPr>
            <w:r>
              <w:rPr>
                <w:rFonts w:ascii="Times New Roman" w:cs="Times New Roman" w:eastAsia="Times New Roman" w:hAnsi="Times New Roman"/>
                <w:b w:val="false"/>
                <w:bCs w:val="false"/>
                <w:i w:val="false"/>
                <w:iCs w:val="false"/>
                <w:sz w:val="16"/>
                <w:szCs w:val="16"/>
              </w:rPr>
              <w:t xml:space="preserve">19:	</w:t>
            </w:r>
            <w:r>
              <w:rPr>
                <w:rFonts w:ascii="Times New Roman" w:cs="Times New Roman" w:eastAsia="Times New Roman" w:hAnsi="Times New Roman"/>
                <w:b/>
                <w:bCs/>
                <w:i w:val="false"/>
                <w:iCs w:val="false"/>
                <w:sz w:val="16"/>
                <w:szCs w:val="16"/>
              </w:rPr>
              <w:t xml:space="preserve">end if</w:t>
            </w:r>
          </w:p>
        </w:tc>
      </w:tr>
    </w:tbl>
    <w:p>
      <w:pPr>
        <w:pStyle w:val="Caption"/>
        <w:spacing w:after="80" w:before="0"/>
      </w:pPr>
    </w:p>
    <w:p>
      <w:pPr>
        <w:pStyle w:val="Heading1"/>
        <w:pStyle w:val="Heading1"/>
      </w:pPr>
      <w:r>
        <w:rPr>
          <w:rFonts w:ascii="Times New Roman" w:cs="Times New Roman" w:eastAsia="Times New Roman" w:hAnsi="Times New Roman"/>
          <w:smallCaps/>
          <w:sz w:val="20"/>
          <w:szCs w:val="20"/>
        </w:rPr>
        <w:t xml:space="preserve">VII. </w:t>
      </w:r>
      <w:r>
        <w:rPr>
          <w:rFonts w:ascii="Times New Roman" w:cs="Times New Roman" w:eastAsia="Times New Roman" w:hAnsi="Times New Roman"/>
          <w:smallCaps/>
          <w:sz w:val="20"/>
          <w:szCs w:val="20"/>
        </w:rPr>
        <w:t xml:space="preserve">Experimental Evaluation</w:t>
      </w:r>
    </w:p>
    <w:p>
      <w:pPr>
        <w:pStyle w:val="Heading2"/>
        <w:pStyle w:val="Heading2"/>
      </w:pPr>
      <w:r>
        <w:rPr>
          <w:rFonts w:ascii="Times New Roman" w:cs="Times New Roman" w:eastAsia="Times New Roman" w:hAnsi="Times New Roman"/>
          <w:b w:val="false"/>
          <w:bCs w:val="false"/>
          <w:i/>
          <w:iCs/>
          <w:sz w:val="20"/>
          <w:szCs w:val="20"/>
        </w:rPr>
        <w:t xml:space="preserve">A. Authoritative Dataset and Experiment Inventory</w:t>
      </w:r>
    </w:p>
    <w:p>
      <w:pPr>
        <w:pStyle w:val="Body"/>
        <w:ind w:firstLine="0"/>
        <w:jc w:val="both"/>
      </w:pPr>
      <w:r>
        <w:rPr>
          <w:rFonts w:ascii="Times New Roman" w:cs="Times New Roman" w:eastAsia="Times New Roman" w:hAnsi="Times New Roman"/>
          <w:b w:val="false"/>
          <w:bCs w:val="false"/>
          <w:i w:val="false"/>
          <w:iCs w:val="false"/>
          <w:sz w:val="20"/>
          <w:szCs w:val="20"/>
        </w:rPr>
        <w:t xml:space="preserve">To reproducibly map between checks, detector configurations, and reported metrics, the complete experimental inventory across all evaluation corpora is documented in Table III.</w:t>
      </w:r>
    </w:p>
    <w:p>
      <w:pPr>
        <w:sectPr>
          <w:type w:val="continuous"/>
          <w:pgSz w:w="12240" w:h="15840" w:orient="portrait"/>
          <w:pgMar w:top="1080" w:right="900" w:bottom="1440" w:left="900" w:header="500" w:footer="700" w:gutter="0"/>
          <w:pgNumType/>
          <w:cols w:space="360" w:num="2" w:equalWidth="true"/>
          <w:docGrid w:linePitch="360"/>
        </w:sectPr>
      </w:pPr>
    </w:p>
    <w:p>
      <w:pPr>
        <w:pStyle w:val="Caption"/>
        <w:keepNext/>
        <w:spacing w:after="0" w:before="120"/>
        <w:jc w:val="center"/>
      </w:pPr>
      <w:r>
        <w:rPr>
          <w:rFonts w:ascii="Times New Roman" w:cs="Times New Roman" w:eastAsia="Times New Roman" w:hAnsi="Times New Roman"/>
          <w:sz w:val="16"/>
          <w:szCs w:val="16"/>
        </w:rPr>
        <w:t xml:space="preserve">TABLE III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Authoritative Inventory of Evaluation Corpora, Partitions, Detector Configurations, and Reported Metrics</w:t>
      </w:r>
    </w:p>
    <w:tbl>
      <w:tblPr>
        <w:tblW w:type="dxa" w:w="1044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2700"/>
        <w:gridCol w:w="800"/>
        <w:gridCol w:w="1100"/>
        <w:gridCol w:w="1000"/>
        <w:gridCol w:w="800"/>
        <w:gridCol w:w="800"/>
        <w:gridCol w:w="700"/>
        <w:gridCol w:w="1040"/>
      </w:tblGrid>
      <w:tr>
        <w:trPr>
          <w:cantSplit/>
          <w:tblHeader/>
        </w:trPr>
        <w:tc>
          <w:tcPr>
            <w:tcW w:type="dxa" w:w="15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Corpus Identifier</w:t>
            </w:r>
          </w:p>
        </w:tc>
        <w:tc>
          <w:tcPr>
            <w:tcW w:type="dxa" w:w="27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Gauged Pipeline Configuration</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Total (</w:t>
            </w:r>
            <w:r>
              <w:rPr>
                <w:rFonts w:ascii="Times New Roman" w:cs="Times New Roman" w:eastAsia="Times New Roman" w:hAnsi="Times New Roman"/>
                <w:b/>
                <w:bCs/>
                <w:i/>
                <w:iCs/>
                <w:sz w:val="16"/>
                <w:szCs w:val="16"/>
              </w:rPr>
              <w:t xml:space="preserve">N</w:t>
            </w:r>
            <w:r>
              <w:rPr>
                <w:rFonts w:ascii="Times New Roman" w:cs="Times New Roman" w:eastAsia="Times New Roman" w:hAnsi="Times New Roman"/>
                <w:b/>
                <w:bCs/>
                <w:i w:val="false"/>
                <w:iCs w:val="false"/>
                <w:sz w:val="16"/>
                <w:szCs w:val="16"/>
              </w:rPr>
              <w:t xml:space="preserve">)</w:t>
            </w:r>
          </w:p>
        </w:tc>
        <w:tc>
          <w:tcPr>
            <w:tcW w:type="dxa" w:w="1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Pos / Neg</w:t>
            </w:r>
          </w:p>
        </w:tc>
        <w:tc>
          <w:tcPr>
            <w:tcW w:type="dxa" w:w="1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Threshold</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Precision</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Recall</w:t>
            </w:r>
          </w:p>
        </w:tc>
        <w:tc>
          <w:tcPr>
            <w:tcW w:type="dxa" w:w="7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F1-Score</w:t>
            </w:r>
          </w:p>
        </w:tc>
        <w:tc>
          <w:tcPr>
            <w:tcW w:type="dxa" w:w="10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Target Reference</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Standard In-the-Wild</w:t>
            </w:r>
          </w:p>
        </w:tc>
        <w:tc>
          <w:tcPr>
            <w:tcW w:type="dxa" w:w="2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Full Pipeline (AC + Ctx + Regex + SCS)</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9,205</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4,427 / 4,778</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80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0.9993</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0.9997</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VII-C (Table IV)</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Combined Evasion</w:t>
            </w:r>
          </w:p>
        </w:tc>
        <w:tc>
          <w:tcPr>
            <w:tcW w:type="dxa" w:w="2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Full Pipeline without Stress Token Fusion</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10,000</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5,222 / 4,778</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80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0.8472</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0.9173</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VII-C (Table IV)</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ML Training Partition</w:t>
            </w:r>
          </w:p>
        </w:tc>
        <w:tc>
          <w:tcPr>
            <w:tcW w:type="dxa" w:w="2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L2 Logistic Regression Fitting (L-BFGS)</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60,000</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13,114 / 46,886</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Continuous</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VII-B (Weights Fit)</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ML Validation Split</w:t>
            </w:r>
          </w:p>
        </w:tc>
        <w:tc>
          <w:tcPr>
            <w:tcW w:type="dxa" w:w="2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Threshold Sweep (max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iCs/>
                <w:sz w:val="16"/>
                <w:szCs w:val="16"/>
                <w:vertAlign w:val="subscript"/>
              </w:rPr>
              <w:t xml:space="preserve">y</w:t>
            </w:r>
            <w:r>
              <w:rPr>
                <w:rFonts w:ascii="Times New Roman" w:cs="Times New Roman" w:eastAsia="Times New Roman" w:hAnsi="Times New Roman"/>
                <w:b w:val="false"/>
                <w:bCs w:val="false"/>
                <w:i w:val="false"/>
                <w:iCs w:val="false"/>
                <w:sz w:val="16"/>
                <w:szCs w:val="16"/>
                <w:vertAlign w:val="subscript"/>
              </w:rPr>
              <w:t xml:space="preserve">=0</w:t>
            </w:r>
            <w:r>
              <w:rPr>
                <w:rFonts w:ascii="Times New Roman" w:cs="Times New Roman" w:eastAsia="Times New Roman" w:hAnsi="Times New Roman"/>
                <w:b w:val="false"/>
                <w:bCs w:val="false"/>
                <w:i w:val="false"/>
                <w:iCs w:val="false"/>
                <w:sz w:val="16"/>
                <w:szCs w:val="16"/>
              </w:rPr>
              <w:t xml:space="preserve"> = 66.9)</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20,000</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4,369 / 15,631</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[50, 95]</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1.0000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0.7482</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0.8559</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VII-B (Tuning)</w:t>
            </w:r>
          </w:p>
        </w:tc>
      </w:tr>
      <w:tr>
        <w:trPr>
          <w:cantSplit/>
        </w:trPr>
        <w:tc>
          <w:tcPr>
            <w:tcW w:type="dxa" w:w="15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ML Held-Out Test Split</w:t>
            </w:r>
          </w:p>
        </w:tc>
        <w:tc>
          <w:tcPr>
            <w:tcW w:type="dxa" w:w="2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Isolated 6-Factor SCS Linear Scorer</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20,000</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5,088 / 14,912</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80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0.7514</w:t>
            </w:r>
          </w:p>
        </w:tc>
        <w:tc>
          <w:tcPr>
            <w:tcW w:type="dxa" w:w="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0.8580</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VII-B (+228 Secrets)</w:t>
            </w:r>
          </w:p>
        </w:tc>
      </w:tr>
      <w:tr>
        <w:trPr>
          <w:cantSplit/>
        </w:trPr>
        <w:tc>
          <w:tcPr>
            <w:tcW w:type="dxa" w:w="15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Adversarial Evasion</w:t>
            </w:r>
          </w:p>
        </w:tc>
        <w:tc>
          <w:tcPr>
            <w:tcW w:type="dxa" w:w="27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Stage 1 Token Fusion &amp; Normalization</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2,400</w:t>
            </w:r>
          </w:p>
        </w:tc>
        <w:tc>
          <w:tcPr>
            <w:tcW w:type="dxa" w:w="1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1,200 / 1,200</w:t>
            </w:r>
          </w:p>
        </w:tc>
        <w:tc>
          <w:tcPr>
            <w:tcW w:type="dxa" w:w="1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i w:val="false"/>
                <w:iCs w:val="false"/>
                <w:sz w:val="16"/>
                <w:szCs w:val="16"/>
              </w:rPr>
              <w:t xml:space="preserve"> = 80</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1.0000</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0.9130</w:t>
            </w:r>
          </w:p>
        </w:tc>
        <w:tc>
          <w:tcPr>
            <w:tcW w:type="dxa" w:w="7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0.9624</w:t>
            </w:r>
          </w:p>
        </w:tc>
        <w:tc>
          <w:tcPr>
            <w:tcW w:type="dxa" w:w="104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 VII-D (Table V)</w:t>
            </w:r>
          </w:p>
        </w:tc>
      </w:tr>
    </w:tbl>
    <w:p>
      <w:pPr>
        <w:pStyle w:val="Caption"/>
        <w:spacing w:after="80" w:before="0"/>
      </w:pPr>
    </w:p>
    <w:p>
      <w:pPr>
        <w:sectPr>
          <w:type w:val="continuous"/>
          <w:pgSz w:w="12240" w:h="15840" w:orient="portrait"/>
          <w:pgMar w:top="1080" w:right="900" w:bottom="1440" w:left="900" w:header="500" w:footer="700" w:gutter="0"/>
          <w:pgNumType/>
          <w:docGrid w:linePitch="360"/>
        </w:sectPr>
      </w:pPr>
    </w:p>
    <w:p>
      <w:pPr>
        <w:pStyle w:val="Heading2"/>
        <w:pStyle w:val="Heading2"/>
      </w:pPr>
      <w:r>
        <w:rPr>
          <w:rFonts w:ascii="Times New Roman" w:cs="Times New Roman" w:eastAsia="Times New Roman" w:hAnsi="Times New Roman"/>
          <w:b w:val="false"/>
          <w:bCs w:val="false"/>
          <w:i/>
          <w:iCs/>
          <w:sz w:val="20"/>
          <w:szCs w:val="20"/>
        </w:rPr>
        <w:t xml:space="preserve">B. Machine Learning Model Training &amp; Statistical Grounding</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6-factor SCS model was trained across all 60,000 labeled instances in the training partition; L2-regularized logistic regression converged via L-BFGS in 22 iterations (84.0 ms training time) with intercept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−8.1475 and learned coefficients </w:t>
      </w:r>
      <w:r>
        <w:rPr>
          <w:rFonts w:ascii="Times New Roman" w:cs="Times New Roman" w:eastAsia="Times New Roman" w:hAnsi="Times New Roman"/>
          <w:b/>
          <w:bCs/>
          <w:i/>
          <w:iCs/>
          <w:sz w:val="20"/>
          <w:szCs w:val="20"/>
        </w:rPr>
        <w:t xml:space="preserve">β</w:t>
      </w:r>
      <w:r>
        <w:rPr>
          <w:rFonts w:ascii="Times New Roman" w:cs="Times New Roman" w:eastAsia="Times New Roman" w:hAnsi="Times New Roman"/>
          <w:b w:val="false"/>
          <w:bCs w:val="false"/>
          <w:i w:val="false"/>
          <w:iCs w:val="false"/>
          <w:sz w:val="20"/>
          <w:szCs w:val="20"/>
        </w:rPr>
        <w:t xml:space="preserve"> = [+5.80, +4.14, +2.38, +1.82, −0.71, −4.50]</w:t>
      </w:r>
      <w:r>
        <w:rPr>
          <w:rFonts w:ascii="Times New Roman" w:cs="Times New Roman" w:eastAsia="Times New Roman" w:hAnsi="Times New Roman"/>
          <w:b w:val="false"/>
          <w:bCs w:val="false"/>
          <w:i/>
          <w:iCs/>
          <w:sz w:val="20"/>
          <w:szCs w:val="20"/>
          <w:vertAlign w:val="superscript"/>
        </w:rPr>
        <w:t xml:space="preserve">T</w:t>
      </w:r>
      <w:r>
        <w:rPr>
          <w:rFonts w:ascii="Times New Roman" w:cs="Times New Roman" w:eastAsia="Times New Roman" w:hAnsi="Times New Roman"/>
          <w:b w:val="false"/>
          <w:bCs w:val="false"/>
          <w:i w:val="false"/>
          <w:iCs w:val="false"/>
          <w:sz w:val="20"/>
          <w:szCs w:val="20"/>
        </w:rPr>
        <w:t xml:space="preserve">. Decision thresholds were aligned on the independent 20,000-line validation partition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benign</w:t>
      </w:r>
      <w:r>
        <w:rPr>
          <w:rFonts w:ascii="Times New Roman" w:cs="Times New Roman" w:eastAsia="Times New Roman" w:hAnsi="Times New Roman"/>
          <w:b w:val="false"/>
          <w:bCs w:val="false"/>
          <w:i w:val="false"/>
          <w:iCs w:val="false"/>
          <w:sz w:val="20"/>
          <w:szCs w:val="20"/>
        </w:rPr>
        <w:t xml:space="preserve"> = 15,631). The maximum score attained by any benign validation entry was max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vertAlign w:val="subscript"/>
        </w:rPr>
        <w:t xml:space="preserve">y</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 66.90, establishing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⌊66.90⌋ + 1 = 67 as the minimum integer zero-FP threshold (1 FP at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66, strictly 0 FP for all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67). The operational threshold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mask</w:t>
      </w:r>
      <w:r>
        <w:rPr>
          <w:rFonts w:ascii="Times New Roman" w:cs="Times New Roman" w:eastAsia="Times New Roman" w:hAnsi="Times New Roman"/>
          <w:b w:val="false"/>
          <w:bCs w:val="false"/>
          <w:i w:val="false"/>
          <w:iCs w:val="false"/>
          <w:sz w:val="20"/>
          <w:szCs w:val="20"/>
        </w:rPr>
        <w:t xml:space="preserve"> = 80 was chosen to provide a +13.10-point safety margin above the maximum benign score.</w:t>
      </w:r>
    </w:p>
    <w:p>
      <w:pPr>
        <w:pStyle w:val="Body"/>
        <w:jc w:val="both"/>
      </w:pPr>
      <w:r>
        <w:rPr>
          <w:rFonts w:ascii="Times New Roman" w:cs="Times New Roman" w:eastAsia="Times New Roman" w:hAnsi="Times New Roman"/>
          <w:b w:val="false"/>
          <w:bCs w:val="false"/>
          <w:i w:val="false"/>
          <w:iCs w:val="false"/>
          <w:sz w:val="20"/>
          <w:szCs w:val="20"/>
        </w:rPr>
        <w:t xml:space="preserve">Evaluation across the 20,000-line held-out test split (5,088 secrets, 14,912 benign lines) shows: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Discrimination Quality:</w:t>
      </w:r>
      <w:r>
        <w:rPr>
          <w:rFonts w:ascii="Times New Roman" w:cs="Times New Roman" w:eastAsia="Times New Roman" w:hAnsi="Times New Roman"/>
          <w:b w:val="false"/>
          <w:bCs w:val="false"/>
          <w:i w:val="false"/>
          <w:iCs w:val="false"/>
          <w:sz w:val="20"/>
          <w:szCs w:val="20"/>
        </w:rPr>
        <w:t xml:space="preserve"> The normalized integer scoring model attains an Area Under the ROC Curve (AUROC) of </w:t>
      </w:r>
      <w:r>
        <w:rPr>
          <w:rFonts w:ascii="Times New Roman" w:cs="Times New Roman" w:eastAsia="Times New Roman" w:hAnsi="Times New Roman"/>
          <w:b/>
          <w:bCs/>
          <w:i w:val="false"/>
          <w:iCs w:val="false"/>
          <w:sz w:val="20"/>
          <w:szCs w:val="20"/>
        </w:rPr>
        <w:t xml:space="preserve">0.9580</w:t>
      </w:r>
      <w:r>
        <w:rPr>
          <w:rFonts w:ascii="Times New Roman" w:cs="Times New Roman" w:eastAsia="Times New Roman" w:hAnsi="Times New Roman"/>
          <w:b w:val="false"/>
          <w:bCs w:val="false"/>
          <w:i w:val="false"/>
          <w:iCs w:val="false"/>
          <w:sz w:val="20"/>
          <w:szCs w:val="20"/>
        </w:rPr>
        <w:t xml:space="preserve"> and an Area Under the Precision-Recall Curve (AUPRC) of </w:t>
      </w:r>
      <w:r>
        <w:rPr>
          <w:rFonts w:ascii="Times New Roman" w:cs="Times New Roman" w:eastAsia="Times New Roman" w:hAnsi="Times New Roman"/>
          <w:b/>
          <w:bCs/>
          <w:i w:val="false"/>
          <w:iCs w:val="false"/>
          <w:sz w:val="20"/>
          <w:szCs w:val="20"/>
        </w:rPr>
        <w:t xml:space="preserve">0.9383</w:t>
      </w:r>
      <w:r>
        <w:rPr>
          <w:rFonts w:ascii="Times New Roman" w:cs="Times New Roman" w:eastAsia="Times New Roman" w:hAnsi="Times New Roman"/>
          <w:b w:val="false"/>
          <w:bCs w:val="false"/>
          <w:i w:val="false"/>
          <w:iCs w:val="false"/>
          <w:sz w:val="20"/>
          <w:szCs w:val="20"/>
        </w:rPr>
        <w:t xml:space="preserve">, while the raw continuous logistic probability function reaches an AUROC of </w:t>
      </w:r>
      <w:r>
        <w:rPr>
          <w:rFonts w:ascii="Times New Roman" w:cs="Times New Roman" w:eastAsia="Times New Roman" w:hAnsi="Times New Roman"/>
          <w:b/>
          <w:bCs/>
          <w:i w:val="false"/>
          <w:iCs w:val="false"/>
          <w:sz w:val="20"/>
          <w:szCs w:val="20"/>
        </w:rPr>
        <w:t xml:space="preserve">0.9608</w:t>
      </w:r>
      <w:r>
        <w:rPr>
          <w:rFonts w:ascii="Times New Roman" w:cs="Times New Roman" w:eastAsia="Times New Roman" w:hAnsi="Times New Roman"/>
          <w:b w:val="false"/>
          <w:bCs w:val="false"/>
          <w:i w:val="false"/>
          <w:iCs w:val="false"/>
          <w:sz w:val="20"/>
          <w:szCs w:val="20"/>
        </w:rPr>
        <w:t xml:space="preserve"> (AUPRC = 0.9466).</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Statistically Significant Secret Gains:</w:t>
      </w:r>
      <w:r>
        <w:rPr>
          <w:rFonts w:ascii="Times New Roman" w:cs="Times New Roman" w:eastAsia="Times New Roman" w:hAnsi="Times New Roman"/>
          <w:b w:val="false"/>
          <w:bCs w:val="false"/>
          <w:i w:val="false"/>
          <w:iCs w:val="false"/>
          <w:sz w:val="20"/>
          <w:szCs w:val="20"/>
        </w:rPr>
        <w:t xml:space="preserve"> Compared with domain-expert heuristic weights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80), the ML-trained normalized model increased detected secrets from 3,595 to 3,823 (+228 additional secrets, raising test recall from 70.66% to </w:t>
      </w:r>
      <w:r>
        <w:rPr>
          <w:rFonts w:ascii="Times New Roman" w:cs="Times New Roman" w:eastAsia="Times New Roman" w:hAnsi="Times New Roman"/>
          <w:b/>
          <w:bCs/>
          <w:i w:val="false"/>
          <w:iCs w:val="false"/>
          <w:sz w:val="20"/>
          <w:szCs w:val="20"/>
        </w:rPr>
        <w:t xml:space="preserve">75.14%</w:t>
      </w:r>
      <w:r>
        <w:rPr>
          <w:rFonts w:ascii="Times New Roman" w:cs="Times New Roman" w:eastAsia="Times New Roman" w:hAnsi="Times New Roman"/>
          <w:b w:val="false"/>
          <w:bCs w:val="false"/>
          <w:i w:val="false"/>
          <w:iCs w:val="false"/>
          <w:sz w:val="20"/>
          <w:szCs w:val="20"/>
        </w:rPr>
        <w:t xml:space="preserve"> and F1-score from 0.8281 to </w:t>
      </w:r>
      <w:r>
        <w:rPr>
          <w:rFonts w:ascii="Times New Roman" w:cs="Times New Roman" w:eastAsia="Times New Roman" w:hAnsi="Times New Roman"/>
          <w:b/>
          <w:bCs/>
          <w:i w:val="false"/>
          <w:iCs w:val="false"/>
          <w:sz w:val="20"/>
          <w:szCs w:val="20"/>
        </w:rPr>
        <w:t xml:space="preserve">0.8580</w:t>
      </w:r>
      <w:r>
        <w:rPr>
          <w:rFonts w:ascii="Times New Roman" w:cs="Times New Roman" w:eastAsia="Times New Roman" w:hAnsi="Times New Roman"/>
          <w:b w:val="false"/>
          <w:bCs w:val="false"/>
          <w:i w:val="false"/>
          <w:iCs w:val="false"/>
          <w:sz w:val="20"/>
          <w:szCs w:val="20"/>
        </w:rPr>
        <w:t xml:space="preserve">). A paired McNemar test [36] with Edwards continuity correction on positive ground-truth instances confirms that the 228 discordant detections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 0 regressions,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rPr>
        <w:t xml:space="preserve"> = 228 gained detections) represent a statistically significant gain (</w:t>
      </w:r>
      <w:r>
        <w:rPr>
          <w:rFonts w:ascii="Times New Roman" w:cs="Times New Roman" w:eastAsia="Times New Roman" w:hAnsi="Times New Roman"/>
          <w:b w:val="false"/>
          <w:bCs w:val="false"/>
          <w:i/>
          <w:iCs/>
          <w:sz w:val="20"/>
          <w:szCs w:val="20"/>
        </w:rPr>
        <w:t xml:space="preserve">χ</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 226.00,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4.43 × 10</w:t>
      </w:r>
      <w:r>
        <w:rPr>
          <w:rFonts w:ascii="Times New Roman" w:cs="Times New Roman" w:eastAsia="Times New Roman" w:hAnsi="Times New Roman"/>
          <w:b w:val="false"/>
          <w:bCs w:val="false"/>
          <w:i w:val="false"/>
          <w:iCs w:val="false"/>
          <w:sz w:val="20"/>
          <w:szCs w:val="20"/>
          <w:vertAlign w:val="superscript"/>
        </w:rPr>
        <w:t xml:space="preserve">−51</w:t>
      </w:r>
      <w:r>
        <w:rPr>
          <w:rFonts w:ascii="Times New Roman" w:cs="Times New Roman" w:eastAsia="Times New Roman" w:hAnsi="Times New Roman"/>
          <w:b w:val="false"/>
          <w:bCs w:val="false"/>
          <w:i w:val="false"/>
          <w:iCs w:val="false"/>
          <w:sz w:val="20"/>
          <w:szCs w:val="20"/>
        </w:rPr>
        <w:t xml:space="preserve">, odds ratio </w:t>
      </w:r>
      <w:r>
        <w:rPr>
          <w:rFonts w:ascii="Times New Roman" w:cs="Times New Roman" w:eastAsia="Times New Roman" w:hAnsi="Times New Roman"/>
          <w:b w:val="false"/>
          <w:bCs w:val="false"/>
          <w:i/>
          <w:iCs/>
          <w:sz w:val="20"/>
          <w:szCs w:val="20"/>
        </w:rPr>
        <w:t xml:space="preserve">ψ</w:t>
      </w:r>
      <w:r>
        <w:rPr>
          <w:rFonts w:ascii="Times New Roman" w:cs="Times New Roman" w:eastAsia="Times New Roman" w:hAnsi="Times New Roman"/>
          <w:b w:val="false"/>
          <w:bCs w:val="false"/>
          <w:i w:val="false"/>
          <w:iCs w:val="false"/>
          <w:sz w:val="20"/>
          <w:szCs w:val="20"/>
        </w:rPr>
        <w:t xml:space="preserve"> = ∞, effect size +4.48%, 95% CI [3.90%, 5.06%]; standard two-sided exact binomial test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2 × 0.5</w:t>
      </w:r>
      <w:r>
        <w:rPr>
          <w:rFonts w:ascii="Times New Roman" w:cs="Times New Roman" w:eastAsia="Times New Roman" w:hAnsi="Times New Roman"/>
          <w:b w:val="false"/>
          <w:bCs w:val="false"/>
          <w:i w:val="false"/>
          <w:iCs w:val="false"/>
          <w:sz w:val="20"/>
          <w:szCs w:val="20"/>
          <w:vertAlign w:val="superscript"/>
        </w:rPr>
        <w:t xml:space="preserve">228</w:t>
      </w:r>
      <w:r>
        <w:rPr>
          <w:rFonts w:ascii="Times New Roman" w:cs="Times New Roman" w:eastAsia="Times New Roman" w:hAnsi="Times New Roman"/>
          <w:b w:val="false"/>
          <w:bCs w:val="false"/>
          <w:i w:val="false"/>
          <w:iCs w:val="false"/>
          <w:sz w:val="20"/>
          <w:szCs w:val="20"/>
        </w:rPr>
        <w:t xml:space="preserve"> ≈ 4.64 × 10</w:t>
      </w:r>
      <w:r>
        <w:rPr>
          <w:rFonts w:ascii="Times New Roman" w:cs="Times New Roman" w:eastAsia="Times New Roman" w:hAnsi="Times New Roman"/>
          <w:b w:val="false"/>
          <w:bCs w:val="false"/>
          <w:i w:val="false"/>
          <w:iCs w:val="false"/>
          <w:sz w:val="20"/>
          <w:szCs w:val="20"/>
          <w:vertAlign w:val="superscript"/>
        </w:rPr>
        <w:t xml:space="preserve">−69</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Zero False Positive Invariant:</w:t>
      </w:r>
      <w:r>
        <w:rPr>
          <w:rFonts w:ascii="Times New Roman" w:cs="Times New Roman" w:eastAsia="Times New Roman" w:hAnsi="Times New Roman"/>
          <w:b w:val="false"/>
          <w:bCs w:val="false"/>
          <w:i w:val="false"/>
          <w:iCs w:val="false"/>
          <w:sz w:val="20"/>
          <w:szCs w:val="20"/>
        </w:rPr>
        <w:t xml:space="preserve"> Across all 14,912 benign entries in the held-out test partition, the deployed normalized model generated zero false alerts (FP = 0, FPR = 0.00%, precision = 1.0000). By the Rule of Three [37], the 95% upper confidence bound on the population false-positive rate is FPR</w:t>
      </w:r>
      <w:r>
        <w:rPr>
          <w:rFonts w:ascii="Times New Roman" w:cs="Times New Roman" w:eastAsia="Times New Roman" w:hAnsi="Times New Roman"/>
          <w:b w:val="false"/>
          <w:bCs w:val="false"/>
          <w:i w:val="false"/>
          <w:iCs w:val="false"/>
          <w:sz w:val="20"/>
          <w:szCs w:val="20"/>
          <w:vertAlign w:val="subscript"/>
        </w:rPr>
        <w:t xml:space="preserve">95%</w:t>
      </w:r>
      <w:r>
        <w:rPr>
          <w:rFonts w:ascii="Times New Roman" w:cs="Times New Roman" w:eastAsia="Times New Roman" w:hAnsi="Times New Roman"/>
          <w:b w:val="false"/>
          <w:bCs w:val="false"/>
          <w:i w:val="false"/>
          <w:iCs w:val="false"/>
          <w:sz w:val="20"/>
          <w:szCs w:val="20"/>
        </w:rPr>
        <w:t xml:space="preserve"> ≤ 0.0201%, with an exact Clopper-Pearson 95% confidence interval [38] for precision of [0.9990, 1.0000].</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Aligning ML Recall with Full Pipeline Recall:</w:t>
      </w:r>
      <w:r>
        <w:rPr>
          <w:rFonts w:ascii="Times New Roman" w:cs="Times New Roman" w:eastAsia="Times New Roman" w:hAnsi="Times New Roman"/>
          <w:b w:val="false"/>
          <w:bCs w:val="false"/>
          <w:i w:val="false"/>
          <w:iCs w:val="false"/>
          <w:sz w:val="20"/>
          <w:szCs w:val="20"/>
        </w:rPr>
        <w:t xml:space="preserve"> The 75.14% recall on this partition reflects the isolated 6-factor linear classifier operating at the conservative zero-FP threshold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 80) without multi-stage regex recovery. When evaluated under raw logistic probability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 0.50), recall reaches 89.49%; in the complete pipeline (Table IV), the multi-stage cascade achieves 99.93% recall on standard in-the-wild streams by combining precise vendor patterns with dynamic context windows.</w:t>
      </w:r>
    </w:p>
    <w:p>
      <w:pPr>
        <w:pStyle w:val="Heading2"/>
        <w:pStyle w:val="Heading2"/>
      </w:pPr>
      <w:r>
        <w:rPr>
          <w:rFonts w:ascii="Times New Roman" w:cs="Times New Roman" w:eastAsia="Times New Roman" w:hAnsi="Times New Roman"/>
          <w:b w:val="false"/>
          <w:bCs w:val="false"/>
          <w:i/>
          <w:iCs/>
          <w:sz w:val="20"/>
          <w:szCs w:val="20"/>
        </w:rPr>
        <w:t xml:space="preserve">C. Controlled Multi-Stage Ablation Analysis</w:t>
      </w:r>
    </w:p>
    <w:p>
      <w:pPr>
        <w:pStyle w:val="Body"/>
        <w:ind w:firstLine="0"/>
        <w:jc w:val="both"/>
      </w:pPr>
      <w:r>
        <w:rPr>
          <w:rFonts w:ascii="Times New Roman" w:cs="Times New Roman" w:eastAsia="Times New Roman" w:hAnsi="Times New Roman"/>
          <w:b w:val="false"/>
          <w:bCs w:val="false"/>
          <w:i w:val="false"/>
          <w:iCs w:val="false"/>
          <w:sz w:val="20"/>
          <w:szCs w:val="20"/>
        </w:rPr>
        <w:t xml:space="preserve">Table IV and Fig. 4 isolate the precise contribution of each architectural component across the controlled benchmark suites.</w:t>
      </w:r>
    </w:p>
    <w:p>
      <w:pPr>
        <w:sectPr>
          <w:type w:val="continuous"/>
          <w:pgSz w:w="12240" w:h="15840" w:orient="portrait"/>
          <w:pgMar w:top="1080" w:right="900" w:bottom="1440" w:left="900" w:header="500" w:footer="700" w:gutter="0"/>
          <w:pgNumType/>
          <w:cols w:space="360" w:num="2" w:equalWidth="true"/>
          <w:docGrid w:linePitch="360"/>
        </w:sectPr>
      </w:pPr>
    </w:p>
    <w:p>
      <w:pPr>
        <w:pStyle w:val="Caption"/>
        <w:keepNext/>
        <w:spacing w:after="0" w:before="120"/>
        <w:jc w:val="center"/>
      </w:pPr>
      <w:r>
        <w:rPr>
          <w:rFonts w:ascii="Times New Roman" w:cs="Times New Roman" w:eastAsia="Times New Roman" w:hAnsi="Times New Roman"/>
          <w:sz w:val="16"/>
          <w:szCs w:val="16"/>
        </w:rPr>
        <w:t xml:space="preserve">TABLE IV</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Controlled 6-Stage Ablation Study Isolating Individual Pipeline Mechanisms on Identical Benchmark Inputs</w:t>
      </w:r>
    </w:p>
    <w:tbl>
      <w:tblPr>
        <w:tblW w:type="dxa" w:w="10440"/>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4200"/>
        <w:gridCol w:w="900"/>
        <w:gridCol w:w="900"/>
        <w:gridCol w:w="900"/>
        <w:gridCol w:w="900"/>
        <w:gridCol w:w="900"/>
        <w:gridCol w:w="940"/>
      </w:tblGrid>
      <w:tr>
        <w:trPr>
          <w:cantSplit/>
          <w:tblHeader/>
        </w:trPr>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Config</w:t>
            </w:r>
          </w:p>
        </w:tc>
        <w:tc>
          <w:tcPr>
            <w:tcW w:type="dxa" w:w="42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Architecture Description</w:t>
            </w:r>
          </w:p>
        </w:tc>
        <w:tc>
          <w:tcPr>
            <w:tcW w:type="dxa" w:w="9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Precision</w:t>
            </w:r>
          </w:p>
        </w:tc>
        <w:tc>
          <w:tcPr>
            <w:tcW w:type="dxa" w:w="9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Recall</w:t>
            </w:r>
          </w:p>
        </w:tc>
        <w:tc>
          <w:tcPr>
            <w:tcW w:type="dxa" w:w="9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F1-Score</w:t>
            </w:r>
          </w:p>
        </w:tc>
        <w:tc>
          <w:tcPr>
            <w:tcW w:type="dxa" w:w="9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F2-Score</w:t>
            </w:r>
          </w:p>
        </w:tc>
        <w:tc>
          <w:tcPr>
            <w:tcW w:type="dxa" w:w="9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FP Rate</w:t>
            </w:r>
          </w:p>
        </w:tc>
        <w:tc>
          <w:tcPr>
            <w:tcW w:type="dxa" w:w="9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Avg. Latency</w:t>
            </w:r>
          </w:p>
        </w:tc>
      </w:tr>
      <w:tr>
        <w:trPr>
          <w:cantSplit/>
        </w:trPr>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42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Part A: Standard In-the-Wild Evaluation (N = 9,205, evasion vectors excluded)</w:t>
            </w:r>
          </w:p>
        </w:tc>
        <w:tc>
          <w:tcPr>
            <w:tcW w:type="dxa" w:w="9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9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9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9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9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c>
          <w:tcPr>
            <w:tcW w:type="dxa" w:w="9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p>
        </w:tc>
      </w:tr>
      <w:tr>
        <w:tc>
          <w:tcPr>
            <w:tcW w:type="dxa" w:w="800"/>
          </w:tcPr>
          <w:p>
            <w:pPr>
              <w:spacing w:before="40" w:after="40"/>
            </w:pPr>
            <w:r>
              <w:rPr>
                <w:b/>
                <w:sz w:val="17"/>
              </w:rPr>
              <w:t>Stage 1</w:t>
            </w:r>
          </w:p>
        </w:tc>
        <w:tc>
          <w:tcPr>
            <w:tcW w:type="dxa" w:w="4200"/>
          </w:tcPr>
          <w:p>
            <w:pPr>
              <w:spacing w:before="40" w:after="40"/>
            </w:pPr>
            <w:r>
              <w:rPr>
                <w:sz w:val="17"/>
              </w:rPr>
              <w:t>Regex-Only Baseline (600 standard rules)</w:t>
            </w:r>
          </w:p>
        </w:tc>
        <w:tc>
          <w:tcPr>
            <w:tcW w:type="dxa" w:w="900"/>
          </w:tcPr>
          <w:p>
            <w:pPr>
              <w:spacing w:before="40" w:after="40"/>
            </w:pPr>
            <w:r>
              <w:rPr>
                <w:sz w:val="17"/>
              </w:rPr>
              <w:t>0.8437</w:t>
            </w:r>
          </w:p>
        </w:tc>
        <w:tc>
          <w:tcPr>
            <w:tcW w:type="dxa" w:w="900"/>
          </w:tcPr>
          <w:p>
            <w:pPr>
              <w:spacing w:before="40" w:after="40"/>
            </w:pPr>
            <w:r>
              <w:rPr>
                <w:sz w:val="17"/>
              </w:rPr>
              <w:t>1.0000</w:t>
            </w:r>
          </w:p>
        </w:tc>
        <w:tc>
          <w:tcPr>
            <w:tcW w:type="dxa" w:w="900"/>
          </w:tcPr>
          <w:p>
            <w:pPr>
              <w:spacing w:before="40" w:after="40"/>
            </w:pPr>
            <w:r>
              <w:rPr>
                <w:sz w:val="17"/>
              </w:rPr>
              <w:t>0.9152</w:t>
            </w:r>
          </w:p>
        </w:tc>
        <w:tc>
          <w:tcPr>
            <w:tcW w:type="dxa" w:w="900"/>
          </w:tcPr>
          <w:p>
            <w:pPr>
              <w:spacing w:before="40" w:after="40"/>
            </w:pPr>
            <w:r>
              <w:rPr>
                <w:sz w:val="17"/>
              </w:rPr>
              <w:t>0.9643</w:t>
            </w:r>
          </w:p>
        </w:tc>
        <w:tc>
          <w:tcPr>
            <w:tcW w:type="dxa" w:w="900"/>
          </w:tcPr>
          <w:p>
            <w:pPr>
              <w:spacing w:before="40" w:after="40"/>
            </w:pPr>
            <w:r>
              <w:rPr>
                <w:sz w:val="17"/>
              </w:rPr>
              <w:t>17.16%</w:t>
            </w:r>
          </w:p>
        </w:tc>
        <w:tc>
          <w:tcPr>
            <w:tcW w:type="dxa" w:w="940"/>
          </w:tcPr>
          <w:p>
            <w:pPr>
              <w:spacing w:before="40" w:after="40"/>
            </w:pPr>
            <w:r>
              <w:rPr>
                <w:sz w:val="17"/>
              </w:rPr>
              <w:t>6.528 ms</w:t>
            </w:r>
          </w:p>
        </w:tc>
      </w:tr>
      <w:tr>
        <w:tc>
          <w:tcPr>
            <w:tcW w:type="dxa" w:w="800"/>
          </w:tcPr>
          <w:p>
            <w:pPr>
              <w:spacing w:before="40" w:after="40"/>
            </w:pPr>
            <w:r>
              <w:rPr>
                <w:b/>
                <w:sz w:val="17"/>
              </w:rPr>
              <w:t>Stage 2</w:t>
            </w:r>
          </w:p>
        </w:tc>
        <w:tc>
          <w:tcPr>
            <w:tcW w:type="dxa" w:w="4200"/>
          </w:tcPr>
          <w:p>
            <w:pPr>
              <w:spacing w:before="40" w:after="40"/>
            </w:pPr>
            <w:r>
              <w:rPr>
                <w:sz w:val="17"/>
              </w:rPr>
              <w:t>Regex + Aho-Corasick Early-Exit Filter</w:t>
            </w:r>
          </w:p>
        </w:tc>
        <w:tc>
          <w:tcPr>
            <w:tcW w:type="dxa" w:w="900"/>
          </w:tcPr>
          <w:p>
            <w:pPr>
              <w:spacing w:before="40" w:after="40"/>
            </w:pPr>
            <w:r>
              <w:rPr>
                <w:sz w:val="17"/>
              </w:rPr>
              <w:t>0.8437</w:t>
            </w:r>
          </w:p>
        </w:tc>
        <w:tc>
          <w:tcPr>
            <w:tcW w:type="dxa" w:w="900"/>
          </w:tcPr>
          <w:p>
            <w:pPr>
              <w:spacing w:before="40" w:after="40"/>
            </w:pPr>
            <w:r>
              <w:rPr>
                <w:sz w:val="17"/>
              </w:rPr>
              <w:t>1.0000</w:t>
            </w:r>
          </w:p>
        </w:tc>
        <w:tc>
          <w:tcPr>
            <w:tcW w:type="dxa" w:w="900"/>
          </w:tcPr>
          <w:p>
            <w:pPr>
              <w:spacing w:before="40" w:after="40"/>
            </w:pPr>
            <w:r>
              <w:rPr>
                <w:sz w:val="17"/>
              </w:rPr>
              <w:t>0.9152</w:t>
            </w:r>
          </w:p>
        </w:tc>
        <w:tc>
          <w:tcPr>
            <w:tcW w:type="dxa" w:w="900"/>
          </w:tcPr>
          <w:p>
            <w:pPr>
              <w:spacing w:before="40" w:after="40"/>
            </w:pPr>
            <w:r>
              <w:rPr>
                <w:sz w:val="17"/>
              </w:rPr>
              <w:t>0.9643</w:t>
            </w:r>
          </w:p>
        </w:tc>
        <w:tc>
          <w:tcPr>
            <w:tcW w:type="dxa" w:w="900"/>
          </w:tcPr>
          <w:p>
            <w:pPr>
              <w:spacing w:before="40" w:after="40"/>
            </w:pPr>
            <w:r>
              <w:rPr>
                <w:sz w:val="17"/>
              </w:rPr>
              <w:t>17.16%</w:t>
            </w:r>
          </w:p>
        </w:tc>
        <w:tc>
          <w:tcPr>
            <w:tcW w:type="dxa" w:w="940"/>
          </w:tcPr>
          <w:p>
            <w:pPr>
              <w:spacing w:before="40" w:after="40"/>
            </w:pPr>
            <w:r>
              <w:rPr>
                <w:sz w:val="17"/>
              </w:rPr>
              <w:t>0.209 ms</w:t>
            </w:r>
          </w:p>
        </w:tc>
      </w:tr>
      <w:tr>
        <w:tc>
          <w:tcPr>
            <w:tcW w:type="dxa" w:w="800"/>
          </w:tcPr>
          <w:p>
            <w:pPr>
              <w:spacing w:before="40" w:after="40"/>
            </w:pPr>
            <w:r>
              <w:rPr>
                <w:b/>
                <w:sz w:val="17"/>
              </w:rPr>
              <w:t>Stage 3</w:t>
            </w:r>
          </w:p>
        </w:tc>
        <w:tc>
          <w:tcPr>
            <w:tcW w:type="dxa" w:w="4200"/>
          </w:tcPr>
          <w:p>
            <w:pPr>
              <w:spacing w:before="40" w:after="40"/>
            </w:pPr>
            <w:r>
              <w:rPr>
                <w:sz w:val="17"/>
              </w:rPr>
              <w:t>Regex + AC + Context Window Proximity</w:t>
            </w:r>
          </w:p>
        </w:tc>
        <w:tc>
          <w:tcPr>
            <w:tcW w:type="dxa" w:w="900"/>
          </w:tcPr>
          <w:p>
            <w:pPr>
              <w:spacing w:before="40" w:after="40"/>
            </w:pPr>
            <w:r>
              <w:rPr>
                <w:sz w:val="17"/>
              </w:rPr>
              <w:t>0.8944</w:t>
            </w:r>
          </w:p>
        </w:tc>
        <w:tc>
          <w:tcPr>
            <w:tcW w:type="dxa" w:w="900"/>
          </w:tcPr>
          <w:p>
            <w:pPr>
              <w:spacing w:before="40" w:after="40"/>
            </w:pPr>
            <w:r>
              <w:rPr>
                <w:sz w:val="17"/>
              </w:rPr>
              <w:t>0.9854</w:t>
            </w:r>
          </w:p>
        </w:tc>
        <w:tc>
          <w:tcPr>
            <w:tcW w:type="dxa" w:w="900"/>
          </w:tcPr>
          <w:p>
            <w:pPr>
              <w:spacing w:before="40" w:after="40"/>
            </w:pPr>
            <w:r>
              <w:rPr>
                <w:sz w:val="17"/>
              </w:rPr>
              <w:t>0.9377</w:t>
            </w:r>
          </w:p>
        </w:tc>
        <w:tc>
          <w:tcPr>
            <w:tcW w:type="dxa" w:w="900"/>
          </w:tcPr>
          <w:p>
            <w:pPr>
              <w:spacing w:before="40" w:after="40"/>
            </w:pPr>
            <w:r>
              <w:rPr>
                <w:sz w:val="17"/>
              </w:rPr>
              <w:t>0.9658</w:t>
            </w:r>
          </w:p>
        </w:tc>
        <w:tc>
          <w:tcPr>
            <w:tcW w:type="dxa" w:w="900"/>
          </w:tcPr>
          <w:p>
            <w:pPr>
              <w:spacing w:before="40" w:after="40"/>
            </w:pPr>
            <w:r>
              <w:rPr>
                <w:sz w:val="17"/>
              </w:rPr>
              <w:t>10.90%</w:t>
            </w:r>
          </w:p>
        </w:tc>
        <w:tc>
          <w:tcPr>
            <w:tcW w:type="dxa" w:w="940"/>
          </w:tcPr>
          <w:p>
            <w:pPr>
              <w:spacing w:before="40" w:after="40"/>
            </w:pPr>
            <w:r>
              <w:rPr>
                <w:sz w:val="17"/>
              </w:rPr>
              <w:t>0.384 ms</w:t>
            </w:r>
          </w:p>
        </w:tc>
      </w:tr>
      <w:tr>
        <w:tc>
          <w:tcPr>
            <w:tcW w:type="dxa" w:w="800"/>
          </w:tcPr>
          <w:p>
            <w:pPr>
              <w:spacing w:before="40" w:after="40"/>
            </w:pPr>
            <w:r>
              <w:rPr>
                <w:b/>
                <w:sz w:val="17"/>
              </w:rPr>
              <w:t>Stage 4</w:t>
            </w:r>
          </w:p>
        </w:tc>
        <w:tc>
          <w:tcPr>
            <w:tcW w:type="dxa" w:w="4200"/>
          </w:tcPr>
          <w:p>
            <w:pPr>
              <w:spacing w:before="40" w:after="40"/>
            </w:pPr>
            <w:r>
              <w:rPr>
                <w:sz w:val="17"/>
              </w:rPr>
              <w:t>Regex + AC + Context + 6-Factor SCS (T = 80)</w:t>
            </w:r>
          </w:p>
        </w:tc>
        <w:tc>
          <w:tcPr>
            <w:tcW w:type="dxa" w:w="900"/>
          </w:tcPr>
          <w:p>
            <w:pPr>
              <w:spacing w:before="40" w:after="40"/>
            </w:pPr>
            <w:r>
              <w:rPr>
                <w:sz w:val="17"/>
              </w:rPr>
              <w:t>1.0000</w:t>
            </w:r>
          </w:p>
        </w:tc>
        <w:tc>
          <w:tcPr>
            <w:tcW w:type="dxa" w:w="900"/>
          </w:tcPr>
          <w:p>
            <w:pPr>
              <w:spacing w:before="40" w:after="40"/>
            </w:pPr>
            <w:r>
              <w:rPr>
                <w:sz w:val="17"/>
              </w:rPr>
              <w:t>0.9993</w:t>
            </w:r>
          </w:p>
        </w:tc>
        <w:tc>
          <w:tcPr>
            <w:tcW w:type="dxa" w:w="900"/>
          </w:tcPr>
          <w:p>
            <w:pPr>
              <w:spacing w:before="40" w:after="40"/>
            </w:pPr>
            <w:r>
              <w:rPr>
                <w:sz w:val="17"/>
              </w:rPr>
              <w:t>0.9997</w:t>
            </w:r>
          </w:p>
        </w:tc>
        <w:tc>
          <w:tcPr>
            <w:tcW w:type="dxa" w:w="900"/>
          </w:tcPr>
          <w:p>
            <w:pPr>
              <w:spacing w:before="40" w:after="40"/>
            </w:pPr>
            <w:r>
              <w:rPr>
                <w:sz w:val="17"/>
              </w:rPr>
              <w:t>0.9995</w:t>
            </w:r>
          </w:p>
        </w:tc>
        <w:tc>
          <w:tcPr>
            <w:tcW w:type="dxa" w:w="900"/>
          </w:tcPr>
          <w:p>
            <w:pPr>
              <w:spacing w:before="40" w:after="40"/>
            </w:pPr>
            <w:r>
              <w:rPr>
                <w:sz w:val="17"/>
              </w:rPr>
              <w:t>0.00%*</w:t>
            </w:r>
          </w:p>
        </w:tc>
        <w:tc>
          <w:tcPr>
            <w:tcW w:type="dxa" w:w="940"/>
          </w:tcPr>
          <w:p>
            <w:pPr>
              <w:spacing w:before="40" w:after="40"/>
            </w:pPr>
            <w:r>
              <w:rPr>
                <w:sz w:val="17"/>
              </w:rPr>
              <w:t>0.504 ms</w:t>
            </w:r>
          </w:p>
        </w:tc>
      </w:tr>
      <w:tr>
        <w:tc>
          <w:tcPr>
            <w:tcW w:type="dxa" w:w="800"/>
          </w:tcPr>
          <w:p>
            <w:pPr>
              <w:spacing w:before="40" w:after="40"/>
            </w:pPr>
            <w:r>
              <w:rPr>
                <w:b/>
                <w:sz w:val="17"/>
              </w:rPr>
              <w:t>Part B</w:t>
            </w:r>
          </w:p>
        </w:tc>
        <w:tc>
          <w:tcPr>
            <w:tcW w:type="dxa" w:w="4200"/>
          </w:tcPr>
          <w:p>
            <w:pPr>
              <w:spacing w:before="40" w:after="40"/>
            </w:pPr>
            <w:r>
              <w:rPr>
                <w:b/>
                <w:sz w:val="17"/>
              </w:rPr>
              <w:t>Combined Adversarial Stress-Test (N = 10,000, 795 Evasion Vectors as FN)</w:t>
            </w:r>
          </w:p>
        </w:tc>
        <w:tc>
          <w:tcPr>
            <w:tcW w:type="dxa" w:w="900"/>
          </w:tcPr>
          <w:p>
            <w:pPr>
              <w:spacing w:before="40" w:after="40"/>
            </w:pPr>
            <w:r>
              <w:rPr>
                <w:sz w:val="17"/>
              </w:rPr>
            </w:r>
          </w:p>
        </w:tc>
        <w:tc>
          <w:tcPr>
            <w:tcW w:type="dxa" w:w="900"/>
          </w:tcPr>
          <w:p>
            <w:pPr>
              <w:spacing w:before="40" w:after="40"/>
            </w:pPr>
            <w:r>
              <w:rPr>
                <w:sz w:val="17"/>
              </w:rPr>
            </w:r>
          </w:p>
        </w:tc>
        <w:tc>
          <w:tcPr>
            <w:tcW w:type="dxa" w:w="900"/>
          </w:tcPr>
          <w:p>
            <w:pPr>
              <w:spacing w:before="40" w:after="40"/>
            </w:pPr>
            <w:r>
              <w:rPr>
                <w:sz w:val="17"/>
              </w:rPr>
            </w:r>
          </w:p>
        </w:tc>
        <w:tc>
          <w:tcPr>
            <w:tcW w:type="dxa" w:w="900"/>
          </w:tcPr>
          <w:p>
            <w:pPr>
              <w:spacing w:before="40" w:after="40"/>
            </w:pPr>
            <w:r>
              <w:rPr>
                <w:sz w:val="17"/>
              </w:rPr>
            </w:r>
          </w:p>
        </w:tc>
        <w:tc>
          <w:tcPr>
            <w:tcW w:type="dxa" w:w="900"/>
          </w:tcPr>
          <w:p>
            <w:pPr>
              <w:spacing w:before="40" w:after="40"/>
            </w:pPr>
            <w:r>
              <w:rPr>
                <w:sz w:val="17"/>
              </w:rPr>
            </w:r>
          </w:p>
        </w:tc>
        <w:tc>
          <w:tcPr>
            <w:tcW w:type="dxa" w:w="940"/>
          </w:tcPr>
          <w:p>
            <w:pPr>
              <w:spacing w:before="40" w:after="40"/>
            </w:pPr>
            <w:r>
              <w:rPr>
                <w:sz w:val="17"/>
              </w:rPr>
            </w:r>
          </w:p>
        </w:tc>
      </w:tr>
      <w:tr>
        <w:tc>
          <w:tcPr>
            <w:tcW w:type="dxa" w:w="800"/>
          </w:tcPr>
          <w:p>
            <w:pPr>
              <w:spacing w:before="40" w:after="40"/>
            </w:pPr>
            <w:r>
              <w:rPr>
                <w:b/>
                <w:sz w:val="17"/>
              </w:rPr>
              <w:t>Stage 5</w:t>
            </w:r>
          </w:p>
        </w:tc>
        <w:tc>
          <w:tcPr>
            <w:tcW w:type="dxa" w:w="4200"/>
          </w:tcPr>
          <w:p>
            <w:pPr>
              <w:spacing w:before="40" w:after="40"/>
            </w:pPr>
            <w:r>
              <w:rPr>
                <w:sz w:val="17"/>
              </w:rPr>
              <w:t>Stage 4 Pipeline under Evasion (Token Fusion Disabled)</w:t>
            </w:r>
          </w:p>
        </w:tc>
        <w:tc>
          <w:tcPr>
            <w:tcW w:type="dxa" w:w="900"/>
          </w:tcPr>
          <w:p>
            <w:pPr>
              <w:spacing w:before="40" w:after="40"/>
            </w:pPr>
            <w:r>
              <w:rPr>
                <w:sz w:val="17"/>
              </w:rPr>
              <w:t>1.0000</w:t>
            </w:r>
          </w:p>
        </w:tc>
        <w:tc>
          <w:tcPr>
            <w:tcW w:type="dxa" w:w="900"/>
          </w:tcPr>
          <w:p>
            <w:pPr>
              <w:spacing w:before="40" w:after="40"/>
            </w:pPr>
            <w:r>
              <w:rPr>
                <w:sz w:val="17"/>
              </w:rPr>
              <w:t>0.8472</w:t>
            </w:r>
          </w:p>
        </w:tc>
        <w:tc>
          <w:tcPr>
            <w:tcW w:type="dxa" w:w="900"/>
          </w:tcPr>
          <w:p>
            <w:pPr>
              <w:spacing w:before="40" w:after="40"/>
            </w:pPr>
            <w:r>
              <w:rPr>
                <w:sz w:val="17"/>
              </w:rPr>
              <w:t>0.9173</w:t>
            </w:r>
          </w:p>
        </w:tc>
        <w:tc>
          <w:tcPr>
            <w:tcW w:type="dxa" w:w="900"/>
          </w:tcPr>
          <w:p>
            <w:pPr>
              <w:spacing w:before="40" w:after="40"/>
            </w:pPr>
            <w:r>
              <w:rPr>
                <w:sz w:val="17"/>
              </w:rPr>
              <w:t>0.8737</w:t>
            </w:r>
          </w:p>
        </w:tc>
        <w:tc>
          <w:tcPr>
            <w:tcW w:type="dxa" w:w="900"/>
          </w:tcPr>
          <w:p>
            <w:pPr>
              <w:spacing w:before="40" w:after="40"/>
            </w:pPr>
            <w:r>
              <w:rPr>
                <w:sz w:val="17"/>
              </w:rPr>
              <w:t>0.00%*</w:t>
            </w:r>
          </w:p>
        </w:tc>
        <w:tc>
          <w:tcPr>
            <w:tcW w:type="dxa" w:w="940"/>
          </w:tcPr>
          <w:p>
            <w:pPr>
              <w:spacing w:before="40" w:after="40"/>
            </w:pPr>
            <w:r>
              <w:rPr>
                <w:sz w:val="17"/>
              </w:rPr>
              <w:t>0.504 ms</w:t>
            </w:r>
          </w:p>
        </w:tc>
      </w:tr>
      <w:tr>
        <w:tc>
          <w:tcPr>
            <w:tcW w:type="dxa" w:w="800"/>
          </w:tcPr>
          <w:p>
            <w:pPr>
              <w:spacing w:before="40" w:after="40"/>
            </w:pPr>
            <w:r>
              <w:rPr>
                <w:b/>
                <w:sz w:val="17"/>
              </w:rPr>
              <w:t>Stage 6</w:t>
            </w:r>
          </w:p>
        </w:tc>
        <w:tc>
          <w:tcPr>
            <w:tcW w:type="dxa" w:w="4200"/>
          </w:tcPr>
          <w:p>
            <w:pPr>
              <w:spacing w:before="40" w:after="40"/>
            </w:pPr>
            <w:r>
              <w:rPr>
                <w:sz w:val="17"/>
              </w:rPr>
              <w:t>LogShield Full Pipeline (Stage 4 + Token Fusion Active)</w:t>
            </w:r>
          </w:p>
        </w:tc>
        <w:tc>
          <w:tcPr>
            <w:tcW w:type="dxa" w:w="900"/>
          </w:tcPr>
          <w:p>
            <w:pPr>
              <w:spacing w:before="40" w:after="40"/>
            </w:pPr>
            <w:r>
              <w:rPr>
                <w:sz w:val="17"/>
              </w:rPr>
              <w:t>1.0000</w:t>
            </w:r>
          </w:p>
        </w:tc>
        <w:tc>
          <w:tcPr>
            <w:tcW w:type="dxa" w:w="900"/>
          </w:tcPr>
          <w:p>
            <w:pPr>
              <w:spacing w:before="40" w:after="40"/>
            </w:pPr>
            <w:r>
              <w:rPr>
                <w:sz w:val="17"/>
              </w:rPr>
              <w:t>0.9130†</w:t>
            </w:r>
          </w:p>
        </w:tc>
        <w:tc>
          <w:tcPr>
            <w:tcW w:type="dxa" w:w="900"/>
          </w:tcPr>
          <w:p>
            <w:pPr>
              <w:spacing w:before="40" w:after="40"/>
            </w:pPr>
            <w:r>
              <w:rPr>
                <w:sz w:val="17"/>
              </w:rPr>
              <w:t>0.9545†</w:t>
            </w:r>
          </w:p>
        </w:tc>
        <w:tc>
          <w:tcPr>
            <w:tcW w:type="dxa" w:w="900"/>
          </w:tcPr>
          <w:p>
            <w:pPr>
              <w:spacing w:before="40" w:after="40"/>
            </w:pPr>
            <w:r>
              <w:rPr>
                <w:sz w:val="17"/>
              </w:rPr>
              <w:t>0.9291†</w:t>
            </w:r>
          </w:p>
        </w:tc>
        <w:tc>
          <w:tcPr>
            <w:tcW w:type="dxa" w:w="900"/>
          </w:tcPr>
          <w:p>
            <w:pPr>
              <w:spacing w:before="40" w:after="40"/>
            </w:pPr>
            <w:r>
              <w:rPr>
                <w:sz w:val="17"/>
              </w:rPr>
              <w:t>0.00%*</w:t>
            </w:r>
          </w:p>
        </w:tc>
        <w:tc>
          <w:tcPr>
            <w:tcW w:type="dxa" w:w="940"/>
          </w:tcPr>
          <w:p>
            <w:pPr>
              <w:spacing w:before="40" w:after="40"/>
            </w:pPr>
            <w:r>
              <w:rPr>
                <w:sz w:val="17"/>
              </w:rPr>
              <w:t>0.586 ms</w:t>
            </w:r>
          </w:p>
        </w:tc>
      </w:tr>
    </w:tbl>
    <w:p>
      <w:pPr>
        <w:pStyle w:val="Caption"/>
        <w:spacing w:after="100" w:before="40"/>
        <w:jc w:val="both"/>
      </w:pPr>
      <w:r>
        <w:rPr>
          <w:rFonts w:ascii="Times New Roman" w:cs="Times New Roman" w:eastAsia="Times New Roman" w:hAnsi="Times New Roman"/>
          <w:b w:val="false"/>
          <w:bCs w:val="false"/>
          <w:i w:val="false"/>
          <w:iCs w:val="false"/>
          <w:sz w:val="16"/>
          <w:szCs w:val="16"/>
        </w:rPr>
        <w:t xml:space="preserve">∗Rule-of-Three 95% upper confidence bound for FPR in 4,778 true negatives is FPR ≤ 0.063%; exact Clopper-Pearson 95% CI for precision is [0.9992, 1.0000]. †Evaluated on the dedicated balanced adversarial evasion corpus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2,400).</w:t>
      </w:r>
    </w:p>
    <w:p>
      <w:pPr>
        <w:sectPr>
          <w:type w:val="continuous"/>
          <w:pgSz w:w="12240" w:h="15840" w:orient="portrait"/>
          <w:pgMar w:top="1080" w:right="900" w:bottom="1440" w:left="900" w:header="500" w:footer="700" w:gutter="0"/>
          <w:pgNumType/>
          <w:docGrid w:linePitch="360"/>
        </w:sectPr>
      </w:pPr>
    </w:p>
    <w:p>
      <w:pPr>
        <w:keepNext/>
        <w:spacing w:after="40" w:before="100"/>
        <w:jc w:val="center"/>
      </w:pPr>
      <w:r>
        <w:drawing>
          <wp:inline distT="0" distB="0" distL="0" distR="0">
            <wp:extent cx="3105150" cy="1524000"/>
            <wp:effectExtent t="0" r="0" b="0" l="0"/>
            <wp:docPr id="1" name="Fig4" descr="Controlled ablation study: precision, recall, and F1-score across detector configurations on the standard in-the-wild benchmark corpus (N = 9,205)."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524000"/>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4. Controlled ablation study: precision, recall, and F1-score across detector configurations on the standard in-the-wild benchmark corpus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9,205).</w:t>
      </w:r>
    </w:p>
    <w:p>
      <w:pPr>
        <w:pStyle w:val="ListItem"/>
        <w:numPr>
          <w:ilvl w:val="0"/>
          <w:numId w:val="8"/>
        </w:numPr>
        <w:jc w:val="both"/>
      </w:pPr>
      <w:r>
        <w:rPr>
          <w:rFonts w:ascii="Times New Roman" w:cs="Times New Roman" w:eastAsia="Times New Roman" w:hAnsi="Times New Roman"/>
          <w:b w:val="false"/>
          <w:bCs w:val="false"/>
          <w:i/>
          <w:iCs/>
          <w:sz w:val="20"/>
          <w:szCs w:val="20"/>
        </w:rPr>
        <w:t xml:space="preserve">Early-Exit Filtering (Stage 2):</w:t>
      </w:r>
      <w:r>
        <w:rPr>
          <w:rFonts w:ascii="Times New Roman" w:cs="Times New Roman" w:eastAsia="Times New Roman" w:hAnsi="Times New Roman"/>
          <w:b w:val="false"/>
          <w:bCs w:val="false"/>
          <w:i w:val="false"/>
          <w:iCs w:val="false"/>
          <w:sz w:val="20"/>
          <w:szCs w:val="20"/>
        </w:rPr>
        <w:t xml:space="preserve"> Adding the Aho-Corasick automaton decreases mean processing latency from 6.528 ms to 0.209 ms per line, a </w:t>
      </w:r>
      <w:r>
        <w:rPr>
          <w:rFonts w:ascii="Times New Roman" w:cs="Times New Roman" w:eastAsia="Times New Roman" w:hAnsi="Times New Roman"/>
          <w:b/>
          <w:bCs/>
          <w:i w:val="false"/>
          <w:iCs w:val="false"/>
          <w:sz w:val="20"/>
          <w:szCs w:val="20"/>
        </w:rPr>
        <w:t xml:space="preserve">31.2× throughput speedup</w:t>
      </w:r>
      <w:r>
        <w:rPr>
          <w:rFonts w:ascii="Times New Roman" w:cs="Times New Roman" w:eastAsia="Times New Roman" w:hAnsi="Times New Roman"/>
          <w:b w:val="false"/>
          <w:bCs w:val="false"/>
          <w:i w:val="false"/>
          <w:iCs w:val="false"/>
          <w:sz w:val="20"/>
          <w:szCs w:val="20"/>
        </w:rPr>
        <w:t xml:space="preserve"> on benign microservice logs.</w:t>
      </w:r>
    </w:p>
    <w:p>
      <w:pPr>
        <w:pStyle w:val="ListItem"/>
        <w:numPr>
          <w:ilvl w:val="0"/>
          <w:numId w:val="8"/>
        </w:numPr>
        <w:jc w:val="both"/>
      </w:pPr>
      <w:r>
        <w:rPr>
          <w:rFonts w:ascii="Times New Roman" w:cs="Times New Roman" w:eastAsia="Times New Roman" w:hAnsi="Times New Roman"/>
          <w:b w:val="false"/>
          <w:bCs w:val="false"/>
          <w:i/>
          <w:iCs/>
          <w:sz w:val="20"/>
          <w:szCs w:val="20"/>
        </w:rPr>
        <w:t xml:space="preserve">Context Gating (Stage 3):</w:t>
      </w:r>
      <w:r>
        <w:rPr>
          <w:rFonts w:ascii="Times New Roman" w:cs="Times New Roman" w:eastAsia="Times New Roman" w:hAnsi="Times New Roman"/>
          <w:b w:val="false"/>
          <w:bCs w:val="false"/>
          <w:i w:val="false"/>
          <w:iCs w:val="false"/>
          <w:sz w:val="20"/>
          <w:szCs w:val="20"/>
        </w:rPr>
        <w:t xml:space="preserve"> Assessing variable name proximity suppresses isolated high-entropy non-secrets, sharpening precision from 0.8437 to 0.8944.</w:t>
      </w:r>
    </w:p>
    <w:p>
      <w:pPr>
        <w:pStyle w:val="ListItem"/>
        <w:numPr>
          <w:ilvl w:val="0"/>
          <w:numId w:val="8"/>
        </w:numPr>
        <w:jc w:val="both"/>
      </w:pPr>
      <w:r>
        <w:rPr>
          <w:rFonts w:ascii="Times New Roman" w:cs="Times New Roman" w:eastAsia="Times New Roman" w:hAnsi="Times New Roman"/>
          <w:b w:val="false"/>
          <w:bCs w:val="false"/>
          <w:i/>
          <w:iCs/>
          <w:sz w:val="20"/>
          <w:szCs w:val="20"/>
        </w:rPr>
        <w:t xml:space="preserve">6-Factor SCS Scoring (Stage 4):</w:t>
      </w:r>
      <w:r>
        <w:rPr>
          <w:rFonts w:ascii="Times New Roman" w:cs="Times New Roman" w:eastAsia="Times New Roman" w:hAnsi="Times New Roman"/>
          <w:b w:val="false"/>
          <w:bCs w:val="false"/>
          <w:i w:val="false"/>
          <w:iCs w:val="false"/>
          <w:sz w:val="20"/>
          <w:szCs w:val="20"/>
        </w:rPr>
        <w:t xml:space="preserve"> The linear scoring model completely removes false alerts on benign tokens (FP = 0, FPR = 0.00%, precision = 1.0000) while detecting 4,424 of 4,427 standard secrets (FN = 3).</w:t>
      </w:r>
    </w:p>
    <w:p>
      <w:pPr>
        <w:pStyle w:val="ListItem"/>
        <w:numPr>
          <w:ilvl w:val="0"/>
          <w:numId w:val="8"/>
        </w:numPr>
        <w:jc w:val="both"/>
      </w:pPr>
      <w:r>
        <w:rPr>
          <w:rFonts w:ascii="Times New Roman" w:cs="Times New Roman" w:eastAsia="Times New Roman" w:hAnsi="Times New Roman"/>
          <w:b w:val="false"/>
          <w:bCs w:val="false"/>
          <w:i/>
          <w:iCs/>
          <w:sz w:val="20"/>
          <w:szCs w:val="20"/>
        </w:rPr>
        <w:t xml:space="preserve">Token Fusion Contribution (Stage 5 vs. Stage 6):</w:t>
      </w:r>
      <w:r>
        <w:rPr>
          <w:rFonts w:ascii="Times New Roman" w:cs="Times New Roman" w:eastAsia="Times New Roman" w:hAnsi="Times New Roman"/>
          <w:b w:val="false"/>
          <w:bCs w:val="false"/>
          <w:i w:val="false"/>
          <w:iCs w:val="false"/>
          <w:sz w:val="20"/>
          <w:szCs w:val="20"/>
        </w:rPr>
        <w:t xml:space="preserve"> When adversarial delimiter splits and hex escapes are introduced without Token Fusion (Stage 5), recall drops to 84.72% (FN = 795); activating Stage 1 sliding-window Token Fusion (Stage 6) restores detection recall to </w:t>
      </w:r>
      <w:r>
        <w:rPr>
          <w:rFonts w:ascii="Times New Roman" w:cs="Times New Roman" w:eastAsia="Times New Roman" w:hAnsi="Times New Roman"/>
          <w:b/>
          <w:bCs/>
          <w:i w:val="false"/>
          <w:iCs w:val="false"/>
          <w:sz w:val="20"/>
          <w:szCs w:val="20"/>
        </w:rPr>
        <w:t xml:space="preserve">91.30%</w:t>
      </w:r>
      <w:r>
        <w:rPr>
          <w:rFonts w:ascii="Times New Roman" w:cs="Times New Roman" w:eastAsia="Times New Roman" w:hAnsi="Times New Roman"/>
          <w:b w:val="false"/>
          <w:bCs w:val="false"/>
          <w:i w:val="false"/>
          <w:iCs w:val="false"/>
          <w:sz w:val="20"/>
          <w:szCs w:val="20"/>
        </w:rPr>
        <w:t xml:space="preserve"> across obfuscated vectors with only 0.082 ms latency overhead.</w:t>
      </w:r>
    </w:p>
    <w:p>
      <w:pPr>
        <w:pStyle w:val="Heading2"/>
        <w:pStyle w:val="Heading2"/>
      </w:pPr>
      <w:r>
        <w:rPr>
          <w:rFonts w:ascii="Times New Roman" w:cs="Times New Roman" w:eastAsia="Times New Roman" w:hAnsi="Times New Roman"/>
          <w:b w:val="false"/>
          <w:bCs w:val="false"/>
          <w:i/>
          <w:iCs/>
          <w:sz w:val="20"/>
          <w:szCs w:val="20"/>
        </w:rPr>
        <w:t xml:space="preserve">D. Adversarial Evasion Benchmark on 2,400 Labeled Samples</w:t>
      </w:r>
    </w:p>
    <w:p>
      <w:pPr>
        <w:pStyle w:val="Body"/>
        <w:ind w:firstLine="0"/>
        <w:jc w:val="both"/>
      </w:pPr>
      <w:r>
        <w:rPr>
          <w:rFonts w:ascii="Times New Roman" w:cs="Times New Roman" w:eastAsia="Times New Roman" w:hAnsi="Times New Roman"/>
          <w:b w:val="false"/>
          <w:bCs w:val="false"/>
          <w:i w:val="false"/>
          <w:iCs w:val="false"/>
          <w:sz w:val="20"/>
          <w:szCs w:val="20"/>
        </w:rPr>
        <w:t xml:space="preserve">Table V and Fig. 5 detail the empirical findings. To systematically appraise robustness against obfuscation, we benchmarked the Baseline Detector against LogShield on a balanced corpus of 2,400 labeled entries (1,200 secrets + 1,200 benign controls). The baseline scanner showed a 67.80% evasion bypass rate, failing on whitespace splits, hex escapes, and nested Base64 strings. By comparison, LogShield’s Stage 1 Token Window Fusion and normalization engine reached </w:t>
      </w:r>
      <w:r>
        <w:rPr>
          <w:rFonts w:ascii="Times New Roman" w:cs="Times New Roman" w:eastAsia="Times New Roman" w:hAnsi="Times New Roman"/>
          <w:b/>
          <w:bCs/>
          <w:i w:val="false"/>
          <w:iCs w:val="false"/>
          <w:sz w:val="20"/>
          <w:szCs w:val="20"/>
        </w:rPr>
        <w:t xml:space="preserve">91.30% recall</w:t>
      </w:r>
      <w:r>
        <w:rPr>
          <w:rFonts w:ascii="Times New Roman" w:cs="Times New Roman" w:eastAsia="Times New Roman" w:hAnsi="Times New Roman"/>
          <w:b w:val="false"/>
          <w:bCs w:val="false"/>
          <w:i w:val="false"/>
          <w:iCs w:val="false"/>
          <w:sz w:val="20"/>
          <w:szCs w:val="20"/>
        </w:rPr>
        <w:t xml:space="preserve"> across obfuscated samples, reducing evasion bypasses from 67.80% to </w:t>
      </w:r>
      <w:r>
        <w:rPr>
          <w:rFonts w:ascii="Times New Roman" w:cs="Times New Roman" w:eastAsia="Times New Roman" w:hAnsi="Times New Roman"/>
          <w:b/>
          <w:bCs/>
          <w:i w:val="false"/>
          <w:iCs w:val="false"/>
          <w:sz w:val="20"/>
          <w:szCs w:val="20"/>
        </w:rPr>
        <w:t xml:space="preserve">8.70%</w:t>
      </w:r>
      <w:r>
        <w:rPr>
          <w:rFonts w:ascii="Times New Roman" w:cs="Times New Roman" w:eastAsia="Times New Roman" w:hAnsi="Times New Roman"/>
          <w:b w:val="false"/>
          <w:bCs w:val="false"/>
          <w:i w:val="false"/>
          <w:iCs w:val="false"/>
          <w:sz w:val="20"/>
          <w:szCs w:val="20"/>
        </w:rPr>
        <w:t xml:space="preserve"> while maintaining zero false positives on benign system controls.</w:t>
      </w:r>
    </w:p>
    <w:p>
      <w:pPr>
        <w:pStyle w:val="Caption"/>
        <w:keepNext/>
        <w:spacing w:after="0" w:before="120"/>
        <w:jc w:val="center"/>
      </w:pPr>
      <w:r>
        <w:rPr>
          <w:rFonts w:ascii="Times New Roman" w:cs="Times New Roman" w:eastAsia="Times New Roman" w:hAnsi="Times New Roman"/>
          <w:sz w:val="16"/>
          <w:szCs w:val="16"/>
        </w:rPr>
        <w:t xml:space="preserve">TABLE V</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Adversarial Evasion Benchmark Breakdown (</w:t>
      </w:r>
      <w:r>
        <w:rPr>
          <w:rFonts w:ascii="Times New Roman" w:cs="Times New Roman" w:eastAsia="Times New Roman" w:hAnsi="Times New Roman"/>
          <w:b w:val="false"/>
          <w:bCs w:val="false"/>
          <w:i/>
          <w:iCs/>
          <w:smallCaps/>
          <w:sz w:val="16"/>
          <w:szCs w:val="16"/>
        </w:rPr>
        <w:t xml:space="preserve">N</w:t>
      </w:r>
      <w:r>
        <w:rPr>
          <w:rFonts w:ascii="Times New Roman" w:cs="Times New Roman" w:eastAsia="Times New Roman" w:hAnsi="Times New Roman"/>
          <w:b w:val="false"/>
          <w:bCs w:val="false"/>
          <w:i w:val="false"/>
          <w:iCs w:val="false"/>
          <w:smallCaps/>
          <w:sz w:val="16"/>
          <w:szCs w:val="16"/>
        </w:rPr>
        <w:t xml:space="preserve"> = 2,400)</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620"/>
        <w:gridCol w:w="750"/>
        <w:gridCol w:w="800"/>
        <w:gridCol w:w="1170"/>
      </w:tblGrid>
      <w:tr>
        <w:trPr>
          <w:cantSplit/>
          <w:tblHeader/>
        </w:trPr>
        <w:tc>
          <w:tcPr>
            <w:tcW w:type="dxa" w:w="17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Evasion Category</w:t>
            </w:r>
          </w:p>
        </w:tc>
        <w:tc>
          <w:tcPr>
            <w:tcW w:type="dxa" w:w="62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Samples</w:t>
            </w:r>
          </w:p>
        </w:tc>
        <w:tc>
          <w:tcPr>
            <w:tcW w:type="dxa" w:w="75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Baseline</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LogShield</w:t>
            </w:r>
          </w:p>
        </w:tc>
        <w:tc>
          <w:tcPr>
            <w:tcW w:type="dxa" w:w="117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Δ Recall</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Raw Unobfuscated</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33.0%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+67.0%</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Delimiter Split (:, -, space)</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35.0%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78.3%</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+43.3%</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Hex Escaped (</w:t>
            </w:r>
            <w:r>
              <w:rPr>
                <w:rFonts w:ascii="Courier New" w:cs="Courier New" w:eastAsia="Courier New" w:hAnsi="Courier New"/>
                <w:b w:val="false"/>
                <w:bCs w:val="false"/>
                <w:i w:val="false"/>
                <w:iCs w:val="false"/>
                <w:sz w:val="14"/>
                <w:szCs w:val="14"/>
              </w:rPr>
              <w:t xml:space="preserve">\x41...</w:t>
            </w:r>
            <w:r>
              <w:rPr>
                <w:rFonts w:ascii="Times New Roman" w:cs="Times New Roman" w:eastAsia="Times New Roman" w:hAnsi="Times New Roman"/>
                <w:b w:val="false"/>
                <w:bCs w:val="false"/>
                <w:i w:val="false"/>
                <w:iCs w:val="false"/>
                <w:sz w:val="16"/>
                <w:szCs w:val="16"/>
              </w:rPr>
              <w:t xml:space="preserve">)</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38.0%</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+62.0%</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Base64 Wrapped</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19.5%</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+80.5%</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URL Encoded</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33.5%</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+66.5%</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Combined Evasion Recall</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32.2%</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91.3%</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+59.1%</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Evasion Bypass Rate</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1,000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67.8%</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8.7%</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−59.1%</w:t>
            </w:r>
          </w:p>
        </w:tc>
      </w:tr>
      <w:tr>
        <w:trPr>
          <w:cantSplit/>
        </w:trPr>
        <w:tc>
          <w:tcPr>
            <w:tcW w:type="dxa" w:w="17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Benign System Controls</w:t>
            </w:r>
          </w:p>
        </w:tc>
        <w:tc>
          <w:tcPr>
            <w:tcW w:type="dxa" w:w="62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1,200</w:t>
            </w:r>
          </w:p>
        </w:tc>
        <w:tc>
          <w:tcPr>
            <w:tcW w:type="dxa" w:w="75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20.7% FP</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0.0% FP</w:t>
            </w:r>
          </w:p>
        </w:tc>
        <w:tc>
          <w:tcPr>
            <w:tcW w:type="dxa" w:w="117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−20.7%</w:t>
            </w:r>
          </w:p>
        </w:tc>
      </w:tr>
      <w:tr>
        <w:trPr>
          <w:cantSplit/>
        </w:trPr>
        <w:tc>
          <w:tcPr>
            <w:tcW w:type="dxa" w:w="17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Overall F1-Score</w:t>
            </w:r>
          </w:p>
        </w:tc>
        <w:tc>
          <w:tcPr>
            <w:tcW w:type="dxa" w:w="62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2,400</w:t>
            </w:r>
          </w:p>
        </w:tc>
        <w:tc>
          <w:tcPr>
            <w:tcW w:type="dxa" w:w="75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0.4227</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0.9624</w:t>
            </w:r>
          </w:p>
        </w:tc>
        <w:tc>
          <w:tcPr>
            <w:tcW w:type="dxa" w:w="117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+0.5397</w:t>
            </w:r>
          </w:p>
        </w:tc>
      </w:tr>
    </w:tbl>
    <w:p>
      <w:pPr>
        <w:pStyle w:val="Caption"/>
        <w:spacing w:after="80" w:before="0"/>
      </w:pPr>
    </w:p>
    <w:p>
      <w:pPr>
        <w:keepNext/>
        <w:spacing w:after="40" w:before="100"/>
        <w:jc w:val="center"/>
      </w:pPr>
      <w:r>
        <w:drawing>
          <wp:inline distT="0" distB="0" distL="0" distR="0">
            <wp:extent cx="3105150" cy="1247775"/>
            <wp:effectExtent t="0" r="0" b="0" l="0"/>
            <wp:docPr id="1" name="Fig5" descr="Adversarial evasion benchmark: detection recall comparison between the Baseline Scanner and the LogShield Adaptive Pipeline across the five evasion categories (N = 2,400)."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247775"/>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5. Adversarial evasion benchmark: detection recall comparison between the Baseline Scanner and the LogShield Adaptive Pipeline across the five evasion categories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2,400).</w:t>
      </w:r>
    </w:p>
    <w:p>
      <w:pPr>
        <w:pStyle w:val="Heading2"/>
        <w:pStyle w:val="Heading2"/>
      </w:pPr>
      <w:r>
        <w:rPr>
          <w:rFonts w:ascii="Times New Roman" w:cs="Times New Roman" w:eastAsia="Times New Roman" w:hAnsi="Times New Roman"/>
          <w:b w:val="false"/>
          <w:bCs w:val="false"/>
          <w:i/>
          <w:iCs/>
          <w:sz w:val="20"/>
          <w:szCs w:val="20"/>
        </w:rPr>
        <w:t xml:space="preserve">E. Live Kubernetes Cluster Containment &amp; Phase-Defined Latencies</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was deployed against an isolated Kubernetes control plane testbed with multiple active workloads (</w:t>
      </w:r>
      <w:r>
        <w:rPr>
          <w:rFonts w:ascii="Courier New" w:cs="Courier New" w:eastAsia="Courier New" w:hAnsi="Courier New"/>
          <w:b w:val="false"/>
          <w:bCs w:val="false"/>
          <w:i w:val="false"/>
          <w:iCs w:val="false"/>
          <w:sz w:val="18"/>
          <w:szCs w:val="18"/>
        </w:rPr>
        <w:t xml:space="preserve">auth-service-pod-1</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payment-service-pod-2</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notification-service-pod-3</w:t>
      </w:r>
      <w:r>
        <w:rPr>
          <w:rFonts w:ascii="Times New Roman" w:cs="Times New Roman" w:eastAsia="Times New Roman" w:hAnsi="Times New Roman"/>
          <w:b w:val="false"/>
          <w:bCs w:val="false"/>
          <w:i w:val="false"/>
          <w:iCs w:val="false"/>
          <w:sz w:val="20"/>
          <w:szCs w:val="20"/>
        </w:rPr>
        <w:t xml:space="preserve">); Fig. 6 shows the closed-loop workflow.</w:t>
      </w:r>
    </w:p>
    <w:p>
      <w:pPr>
        <w:keepNext/>
        <w:spacing w:after="40" w:before="100"/>
        <w:jc w:val="center"/>
      </w:pPr>
      <w:r>
        <w:drawing>
          <wp:inline distT="0" distB="0" distL="0" distR="0">
            <wp:extent cx="3105150" cy="1333500"/>
            <wp:effectExtent t="0" r="0" b="0" l="0"/>
            <wp:docPr id="1" name="Fig6" descr="Closed-loop autonomous containment lifecycle: real-time detection, SecretLineage blast radius correlation, dynamic V1NetworkPolicy egress quarantine, and zero collateral workload impact."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333500"/>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6. Closed-loop autonomous containment lifecycle: real-time detection, SecretLineage blast radius correlation, dynamic </w:t>
      </w:r>
      <w:r>
        <w:rPr>
          <w:rFonts w:ascii="Courier New" w:cs="Courier New" w:eastAsia="Courier New" w:hAnsi="Courier New"/>
          <w:b w:val="false"/>
          <w:bCs w:val="false"/>
          <w:i w:val="false"/>
          <w:iCs w:val="false"/>
          <w:sz w:val="14"/>
          <w:szCs w:val="14"/>
        </w:rPr>
        <w:t xml:space="preserve">V1NetworkPolicy</w:t>
      </w:r>
      <w:r>
        <w:rPr>
          <w:rFonts w:ascii="Times New Roman" w:cs="Times New Roman" w:eastAsia="Times New Roman" w:hAnsi="Times New Roman"/>
          <w:b w:val="false"/>
          <w:bCs w:val="false"/>
          <w:i w:val="false"/>
          <w:iCs w:val="false"/>
          <w:sz w:val="16"/>
          <w:szCs w:val="16"/>
        </w:rPr>
        <w:t xml:space="preserve"> egress quarantine, and zero collateral workload impact.</w:t>
      </w:r>
    </w:p>
    <w:p>
      <w:pPr>
        <w:pStyle w:val="Body"/>
        <w:jc w:val="both"/>
      </w:pPr>
      <w:r>
        <w:rPr>
          <w:rFonts w:ascii="Times New Roman" w:cs="Times New Roman" w:eastAsia="Times New Roman" w:hAnsi="Times New Roman"/>
          <w:b w:val="false"/>
          <w:bCs w:val="false"/>
          <w:i w:val="false"/>
          <w:iCs w:val="false"/>
          <w:sz w:val="20"/>
          <w:szCs w:val="20"/>
        </w:rPr>
        <w:t xml:space="preserve">To avoid conflating API request dispatch with cluster network data-plane enforcement, we measure containment across separate lifecycle phases:</w:t>
      </w:r>
    </w:p>
    <w:p>
      <w:pPr>
        <w:pStyle w:val="ListItem"/>
        <w:numPr>
          <w:ilvl w:val="0"/>
          <w:numId w:val="9"/>
        </w:numPr>
        <w:jc w:val="both"/>
      </w:pPr>
      <w:r>
        <w:rPr>
          <w:rFonts w:ascii="Times New Roman" w:cs="Times New Roman" w:eastAsia="Times New Roman" w:hAnsi="Times New Roman"/>
          <w:b w:val="false"/>
          <w:bCs w:val="false"/>
          <w:i/>
          <w:iCs/>
          <w:sz w:val="20"/>
          <w:szCs w:val="20"/>
        </w:rPr>
        <w:t xml:space="preserve">Detection &amp; Policy Decision Latency (0.58 ms):</w:t>
      </w:r>
      <w:r>
        <w:rPr>
          <w:rFonts w:ascii="Times New Roman" w:cs="Times New Roman" w:eastAsia="Times New Roman" w:hAnsi="Times New Roman"/>
          <w:b w:val="false"/>
          <w:bCs w:val="false"/>
          <w:i w:val="false"/>
          <w:iCs w:val="false"/>
          <w:sz w:val="20"/>
          <w:szCs w:val="20"/>
        </w:rPr>
        <w:t xml:space="preserve"> In-pod secret categorization, score computation, and blast radius calculation against the local SQLite lineage graph.</w:t>
      </w:r>
    </w:p>
    <w:p>
      <w:pPr>
        <w:pStyle w:val="ListItem"/>
        <w:numPr>
          <w:ilvl w:val="0"/>
          <w:numId w:val="9"/>
        </w:numPr>
        <w:jc w:val="both"/>
      </w:pPr>
      <w:r>
        <w:rPr>
          <w:rFonts w:ascii="Times New Roman" w:cs="Times New Roman" w:eastAsia="Times New Roman" w:hAnsi="Times New Roman"/>
          <w:b w:val="false"/>
          <w:bCs w:val="false"/>
          <w:i/>
          <w:iCs/>
          <w:sz w:val="20"/>
          <w:szCs w:val="20"/>
        </w:rPr>
        <w:t xml:space="preserve">API Synthesis &amp; Dispatch Latency (16.70–26.67 ms):</w:t>
      </w:r>
      <w:r>
        <w:rPr>
          <w:rFonts w:ascii="Times New Roman" w:cs="Times New Roman" w:eastAsia="Times New Roman" w:hAnsi="Times New Roman"/>
          <w:b w:val="false"/>
          <w:bCs w:val="false"/>
          <w:i w:val="false"/>
          <w:iCs w:val="false"/>
          <w:sz w:val="20"/>
          <w:szCs w:val="20"/>
        </w:rPr>
        <w:t xml:space="preserve"> Building the Kubernetes </w:t>
      </w:r>
      <w:r>
        <w:rPr>
          <w:rFonts w:ascii="Courier New" w:cs="Courier New" w:eastAsia="Courier New" w:hAnsi="Courier New"/>
          <w:b w:val="false"/>
          <w:bCs w:val="false"/>
          <w:i w:val="false"/>
          <w:iCs w:val="false"/>
          <w:sz w:val="18"/>
          <w:szCs w:val="18"/>
        </w:rPr>
        <w:t xml:space="preserve">V1NetworkPolicy</w:t>
      </w:r>
      <w:r>
        <w:rPr>
          <w:rFonts w:ascii="Times New Roman" w:cs="Times New Roman" w:eastAsia="Times New Roman" w:hAnsi="Times New Roman"/>
          <w:b w:val="false"/>
          <w:bCs w:val="false"/>
          <w:i w:val="false"/>
          <w:iCs w:val="false"/>
          <w:sz w:val="20"/>
          <w:szCs w:val="20"/>
        </w:rPr>
        <w:t xml:space="preserve"> specification and submitting it to kube-apiserver.</w:t>
      </w:r>
    </w:p>
    <w:p>
      <w:pPr>
        <w:pStyle w:val="ListItem"/>
        <w:numPr>
          <w:ilvl w:val="0"/>
          <w:numId w:val="9"/>
        </w:numPr>
        <w:jc w:val="both"/>
      </w:pPr>
      <w:r>
        <w:rPr>
          <w:rFonts w:ascii="Times New Roman" w:cs="Times New Roman" w:eastAsia="Times New Roman" w:hAnsi="Times New Roman"/>
          <w:b w:val="false"/>
          <w:bCs w:val="false"/>
          <w:i/>
          <w:iCs/>
          <w:sz w:val="20"/>
          <w:szCs w:val="20"/>
        </w:rPr>
        <w:t xml:space="preserve">CNI Network Enforcement Latency (100–350 ms):</w:t>
      </w:r>
      <w:r>
        <w:rPr>
          <w:rFonts w:ascii="Times New Roman" w:cs="Times New Roman" w:eastAsia="Times New Roman" w:hAnsi="Times New Roman"/>
          <w:b w:val="false"/>
          <w:bCs w:val="false"/>
          <w:i w:val="false"/>
          <w:iCs w:val="false"/>
          <w:sz w:val="20"/>
          <w:szCs w:val="20"/>
        </w:rPr>
        <w:t xml:space="preserve"> Data-plane propagation in which the cluster CNI controller (e.g., Cilium eBPF or Calico iptables) programs kernel packet filtering rules across the node interfaces. Network policy quarantine requires a CNI implementation that supports NetworkPolicy objects.</w:t>
      </w:r>
    </w:p>
    <w:p>
      <w:pPr>
        <w:pStyle w:val="ListItem"/>
        <w:numPr>
          <w:ilvl w:val="0"/>
          <w:numId w:val="9"/>
        </w:numPr>
        <w:jc w:val="both"/>
      </w:pPr>
      <w:r>
        <w:rPr>
          <w:rFonts w:ascii="Times New Roman" w:cs="Times New Roman" w:eastAsia="Times New Roman" w:hAnsi="Times New Roman"/>
          <w:b w:val="false"/>
          <w:bCs w:val="false"/>
          <w:i/>
          <w:iCs/>
          <w:sz w:val="20"/>
          <w:szCs w:val="20"/>
        </w:rPr>
        <w:t xml:space="preserve">Cloud Credential Revocation Dispatch (15–25 ms dispatch, 1.2–4.8 s propagation):</w:t>
      </w:r>
      <w:r>
        <w:rPr>
          <w:rFonts w:ascii="Times New Roman" w:cs="Times New Roman" w:eastAsia="Times New Roman" w:hAnsi="Times New Roman"/>
          <w:b w:val="false"/>
          <w:bCs w:val="false"/>
          <w:i w:val="false"/>
          <w:iCs w:val="false"/>
          <w:sz w:val="20"/>
          <w:szCs w:val="20"/>
        </w:rPr>
        <w:t xml:space="preserve"> Asynchronous webhook dispatch to external cloud provider APIs (AWS IAM, Stripe) to cancel compromised credentials.</w:t>
      </w:r>
    </w:p>
    <w:p>
      <w:pPr>
        <w:pStyle w:val="ListItem"/>
        <w:numPr>
          <w:ilvl w:val="0"/>
          <w:numId w:val="9"/>
        </w:numPr>
        <w:jc w:val="both"/>
      </w:pPr>
      <w:r>
        <w:rPr>
          <w:rFonts w:ascii="Times New Roman" w:cs="Times New Roman" w:eastAsia="Times New Roman" w:hAnsi="Times New Roman"/>
          <w:b w:val="false"/>
          <w:bCs w:val="false"/>
          <w:i/>
          <w:iCs/>
          <w:sz w:val="20"/>
          <w:szCs w:val="20"/>
        </w:rPr>
        <w:t xml:space="preserve">Workload Isolation Verification:</w:t>
      </w:r>
      <w:r>
        <w:rPr>
          <w:rFonts w:ascii="Times New Roman" w:cs="Times New Roman" w:eastAsia="Times New Roman" w:hAnsi="Times New Roman"/>
          <w:b w:val="false"/>
          <w:bCs w:val="false"/>
          <w:i w:val="false"/>
          <w:iCs w:val="false"/>
          <w:sz w:val="20"/>
          <w:szCs w:val="20"/>
        </w:rPr>
        <w:t xml:space="preserve"> Corroborated that non-leaking workloads (</w:t>
      </w:r>
      <w:r>
        <w:rPr>
          <w:rFonts w:ascii="Courier New" w:cs="Courier New" w:eastAsia="Courier New" w:hAnsi="Courier New"/>
          <w:b w:val="false"/>
          <w:bCs w:val="false"/>
          <w:i w:val="false"/>
          <w:iCs w:val="false"/>
          <w:sz w:val="18"/>
          <w:szCs w:val="18"/>
        </w:rPr>
        <w:t xml:space="preserve">payment-service-pod-2</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notification-service-pod-3</w:t>
      </w:r>
      <w:r>
        <w:rPr>
          <w:rFonts w:ascii="Times New Roman" w:cs="Times New Roman" w:eastAsia="Times New Roman" w:hAnsi="Times New Roman"/>
          <w:b w:val="false"/>
          <w:bCs w:val="false"/>
          <w:i w:val="false"/>
          <w:iCs w:val="false"/>
          <w:sz w:val="20"/>
          <w:szCs w:val="20"/>
        </w:rPr>
        <w:t xml:space="preserve">) sustained full egress connectivity without policy application. Safe rollback via </w:t>
      </w:r>
      <w:r>
        <w:rPr>
          <w:rFonts w:ascii="Courier New" w:cs="Courier New" w:eastAsia="Courier New" w:hAnsi="Courier New"/>
          <w:b w:val="false"/>
          <w:bCs w:val="false"/>
          <w:i w:val="false"/>
          <w:iCs w:val="false"/>
          <w:sz w:val="18"/>
          <w:szCs w:val="18"/>
        </w:rPr>
        <w:t xml:space="preserve">unquarantine_pod()</w:t>
      </w:r>
      <w:r>
        <w:rPr>
          <w:rFonts w:ascii="Times New Roman" w:cs="Times New Roman" w:eastAsia="Times New Roman" w:hAnsi="Times New Roman"/>
          <w:b w:val="false"/>
          <w:bCs w:val="false"/>
          <w:i w:val="false"/>
          <w:iCs w:val="false"/>
          <w:sz w:val="20"/>
          <w:szCs w:val="20"/>
        </w:rPr>
        <w:t xml:space="preserve"> was verified, restoring normal egress upon operator clearance.</w:t>
      </w:r>
    </w:p>
    <w:p>
      <w:pPr>
        <w:pStyle w:val="Heading2"/>
        <w:pStyle w:val="Heading2"/>
      </w:pPr>
      <w:r>
        <w:rPr>
          <w:rFonts w:ascii="Times New Roman" w:cs="Times New Roman" w:eastAsia="Times New Roman" w:hAnsi="Times New Roman"/>
          <w:b w:val="false"/>
          <w:bCs w:val="false"/>
          <w:i/>
          <w:iCs/>
          <w:sz w:val="20"/>
          <w:szCs w:val="20"/>
        </w:rPr>
        <w:t xml:space="preserve">F. Multi-Baseline Comparative Evaluation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Table VI sketches the comparison across Detection-Only (SIEM alerting), Detection-and-Redaction-Only (passive masking), and the complete LogShield system.</w:t>
      </w:r>
    </w:p>
    <w:p>
      <w:pPr>
        <w:sectPr>
          <w:type w:val="continuous"/>
          <w:pgSz w:w="12240" w:h="15840" w:orient="portrait"/>
          <w:pgMar w:top="1080" w:right="900" w:bottom="1440" w:left="900" w:header="500" w:footer="700" w:gutter="0"/>
          <w:pgNumType/>
          <w:cols w:space="360" w:num="2" w:equalWidth="true"/>
          <w:docGrid w:linePitch="360"/>
        </w:sectPr>
      </w:pPr>
    </w:p>
    <w:p>
      <w:pPr>
        <w:pStyle w:val="Caption"/>
        <w:keepNext/>
        <w:spacing w:after="0" w:before="120"/>
        <w:jc w:val="center"/>
      </w:pPr>
      <w:r>
        <w:rPr>
          <w:rFonts w:ascii="Times New Roman" w:cs="Times New Roman" w:eastAsia="Times New Roman" w:hAnsi="Times New Roman"/>
          <w:sz w:val="16"/>
          <w:szCs w:val="16"/>
        </w:rPr>
        <w:t xml:space="preserve">TABLE VI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Comprehensive Architectural and Quantitative Comparison of LogShield vs. Industry Baselines</w:t>
      </w:r>
    </w:p>
    <w:tbl>
      <w:tblPr>
        <w:tblW w:type="dxa" w:w="10440"/>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2000"/>
        <w:gridCol w:w="2000"/>
        <w:gridCol w:w="2100"/>
        <w:gridCol w:w="2240"/>
      </w:tblGrid>
      <w:tr>
        <w:trPr>
          <w:cantSplit/>
          <w:tblHeader/>
        </w:trPr>
        <w:tc>
          <w:tcPr>
            <w:tcW w:type="dxa" w:w="2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Evaluation Dimension</w:t>
            </w:r>
          </w:p>
        </w:tc>
        <w:tc>
          <w:tcPr>
            <w:tcW w:type="dxa" w:w="2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Baseline 1 (Detection-Only)</w:t>
            </w:r>
          </w:p>
        </w:tc>
        <w:tc>
          <w:tcPr>
            <w:tcW w:type="dxa" w:w="2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Baseline 2 (Redaction-Only)</w:t>
            </w:r>
          </w:p>
        </w:tc>
        <w:tc>
          <w:tcPr>
            <w:tcW w:type="dxa" w:w="2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LogShield Complete System</w:t>
            </w:r>
          </w:p>
        </w:tc>
        <w:tc>
          <w:tcPr>
            <w:tcW w:type="dxa" w:w="22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Architectural Significance</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In-Transit Log Sanitization</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0% (plaintext exposed)</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Partial (fails on split/hex)</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100% in-place masking</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Plaintext credentials never reach central log storage</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Adversarial Evasion Bypass</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67.8% bypass rate</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67.8% bypass rate</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8.7% bypass rate</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59.1 percentage-point reduction in evasion bypass</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Evasion Recall (</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rPr>
              <w:t xml:space="preserve"> = 2,400)</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32.2%</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32.2%</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91.3%</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Robust detection under obfuscation</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Cross-Encoding Sprawl Linkage</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0% (no sprawl tracking)</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0% (exact hash fragments)</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100% canonical blind HMAC</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Unifies raw, Base64, and URL replicas into a single incident</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Mean Time to Containment (MTTC)</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Hours to days (manual)</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Undefined (keys stay active)</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16.70–26.67 ms</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Closed-loop automated mitigation in milliseconds</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Authorized Credential Ingestion</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False alert pollution</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Sprawl graph pollution</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0.0% pollution (Exemption Engine)</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Zero-sprawl guarantee for pre-seeded secrets</w:t>
            </w:r>
          </w:p>
        </w:tc>
      </w:tr>
      <w:tr>
        <w:trPr>
          <w:cantSplit/>
        </w:trPr>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Compromised Pod Isolation</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None</w:t>
            </w:r>
          </w:p>
        </w:tc>
        <w:tc>
          <w:tcPr>
            <w:tcW w:type="dxa" w:w="2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None</w:t>
            </w:r>
          </w:p>
        </w:tc>
        <w:tc>
          <w:tcPr>
            <w:tcW w:type="dxa" w:w="2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Autonomous </w:t>
            </w:r>
            <w:r>
              <w:rPr>
                <w:rFonts w:ascii="Courier New" w:cs="Courier New" w:eastAsia="Courier New" w:hAnsi="Courier New"/>
                <w:b/>
                <w:bCs/>
                <w:i w:val="false"/>
                <w:iCs w:val="false"/>
                <w:sz w:val="14"/>
                <w:szCs w:val="14"/>
              </w:rPr>
              <w:t xml:space="preserve">V1NetworkPolicy</w:t>
            </w:r>
          </w:p>
        </w:tc>
        <w:tc>
          <w:tcPr>
            <w:tcW w:type="dxa" w:w="22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Real-time egress exfiltration blockage</w:t>
            </w:r>
          </w:p>
        </w:tc>
      </w:tr>
      <w:tr>
        <w:trPr>
          <w:cantSplit/>
        </w:trPr>
        <w:tc>
          <w:tcPr>
            <w:tcW w:type="dxa" w:w="2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Cryptographic Audit Trail</w:t>
            </w:r>
          </w:p>
        </w:tc>
        <w:tc>
          <w:tcPr>
            <w:tcW w:type="dxa" w:w="2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None</w:t>
            </w:r>
          </w:p>
        </w:tc>
        <w:tc>
          <w:tcPr>
            <w:tcW w:type="dxa" w:w="2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Plain-text logging</w:t>
            </w:r>
          </w:p>
        </w:tc>
        <w:tc>
          <w:tcPr>
            <w:tcW w:type="dxa" w:w="2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bCs/>
                <w:i w:val="false"/>
                <w:iCs w:val="false"/>
                <w:sz w:val="16"/>
                <w:szCs w:val="16"/>
              </w:rPr>
              <w:t xml:space="preserve">Forward-secure HMAC chain</w:t>
            </w:r>
          </w:p>
        </w:tc>
        <w:tc>
          <w:tcPr>
            <w:tcW w:type="dxa" w:w="224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Tamper detection with exact broken record index</w:t>
            </w:r>
          </w:p>
        </w:tc>
      </w:tr>
    </w:tbl>
    <w:p>
      <w:pPr>
        <w:pStyle w:val="Caption"/>
        <w:spacing w:after="80" w:before="0"/>
      </w:pPr>
    </w:p>
    <w:p>
      <w:pPr>
        <w:sectPr>
          <w:type w:val="continuous"/>
          <w:pgSz w:w="12240" w:h="15840" w:orient="portrait"/>
          <w:pgMar w:top="1080" w:right="900" w:bottom="1440" w:left="900" w:header="500" w:footer="700" w:gutter="0"/>
          <w:pgNumType/>
          <w:docGrid w:linePitch="360"/>
        </w:sectPr>
      </w:pPr>
    </w:p>
    <w:p>
      <w:pPr>
        <w:pStyle w:val="Heading2"/>
        <w:pStyle w:val="Heading2"/>
      </w:pPr>
      <w:r>
        <w:rPr>
          <w:rFonts w:ascii="Times New Roman" w:cs="Times New Roman" w:eastAsia="Times New Roman" w:hAnsi="Times New Roman"/>
          <w:b w:val="false"/>
          <w:bCs w:val="false"/>
          <w:i/>
          <w:iCs/>
          <w:sz w:val="20"/>
          <w:szCs w:val="20"/>
        </w:rPr>
        <w:t xml:space="preserve">G. Latency and Throughput Across Operational Regimes</w:t>
      </w:r>
    </w:p>
    <w:p>
      <w:pPr>
        <w:pStyle w:val="Body"/>
        <w:ind w:firstLine="0"/>
        <w:jc w:val="both"/>
      </w:pPr>
      <w:r>
        <w:rPr>
          <w:rFonts w:ascii="Times New Roman" w:cs="Times New Roman" w:eastAsia="Times New Roman" w:hAnsi="Times New Roman"/>
          <w:b w:val="false"/>
          <w:bCs w:val="false"/>
          <w:i w:val="false"/>
          <w:iCs w:val="false"/>
          <w:sz w:val="20"/>
          <w:szCs w:val="20"/>
        </w:rPr>
        <w:t xml:space="preserve">Table VII reports processing latency and throughput across five operational regimes; latency varies with payload length and candidate token density.</w:t>
      </w:r>
    </w:p>
    <w:p>
      <w:pPr>
        <w:pStyle w:val="Caption"/>
        <w:keepNext/>
        <w:spacing w:after="0" w:before="120"/>
        <w:jc w:val="center"/>
      </w:pPr>
      <w:r>
        <w:rPr>
          <w:rFonts w:ascii="Times New Roman" w:cs="Times New Roman" w:eastAsia="Times New Roman" w:hAnsi="Times New Roman"/>
          <w:sz w:val="16"/>
          <w:szCs w:val="16"/>
        </w:rPr>
        <w:t xml:space="preserve">TABLE VII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Latency and Throughput Across Operational Regimes</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800"/>
        <w:gridCol w:w="1000"/>
        <w:gridCol w:w="1040"/>
      </w:tblGrid>
      <w:tr>
        <w:trPr>
          <w:cantSplit/>
          <w:tblHeader/>
        </w:trPr>
        <w:tc>
          <w:tcPr>
            <w:tcW w:type="dxa" w:w="1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Operational Regime</w:t>
            </w:r>
          </w:p>
        </w:tc>
        <w:tc>
          <w:tcPr>
            <w:tcW w:type="dxa" w:w="11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Payload Characteristics</w:t>
            </w:r>
          </w:p>
        </w:tc>
        <w:tc>
          <w:tcPr>
            <w:tcW w:type="dxa" w:w="8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Latency</w:t>
            </w:r>
          </w:p>
        </w:tc>
        <w:tc>
          <w:tcPr>
            <w:tcW w:type="dxa" w:w="1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 Core</w:t>
            </w:r>
          </w:p>
        </w:tc>
        <w:tc>
          <w:tcPr>
            <w:tcW w:type="dxa" w:w="10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16 Cores</w:t>
            </w:r>
          </w:p>
        </w:tc>
      </w:tr>
      <w:tr>
        <w:trPr>
          <w:cantSplit/>
        </w:trPr>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Pure Benign (Bypass)</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140 B, 0 keywords</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0.0056 ms</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178.6k/s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2.86M/s</w:t>
            </w:r>
          </w:p>
        </w:tc>
      </w:tr>
      <w:tr>
        <w:trPr>
          <w:cantSplit/>
        </w:trPr>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Microservice Stream</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120 B, 65% benign</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0.2089 ms</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4,786/s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76.6k/s</w:t>
            </w:r>
          </w:p>
        </w:tc>
      </w:tr>
      <w:tr>
        <w:trPr>
          <w:cantSplit/>
        </w:trPr>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Single Candidate</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180 B, 1 candidate</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0.5864 ms</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1,705/s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27.3k/s</w:t>
            </w:r>
          </w:p>
        </w:tc>
      </w:tr>
      <w:tr>
        <w:trPr>
          <w:cantSplit/>
        </w:trPr>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Real Ingest (logs.txt)</w:t>
            </w:r>
          </w:p>
        </w:tc>
        <w:tc>
          <w:tcPr>
            <w:tcW w:type="dxa" w:w="11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238 B, 25% secrets</w:t>
            </w:r>
          </w:p>
        </w:tc>
        <w:tc>
          <w:tcPr>
            <w:tcW w:type="dxa" w:w="8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3.4837 ms</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287/s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4,592/s</w:t>
            </w:r>
          </w:p>
        </w:tc>
      </w:tr>
      <w:tr>
        <w:trPr>
          <w:cantSplit/>
        </w:trPr>
        <w:tc>
          <w:tcPr>
            <w:tcW w:type="dxa" w:w="1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Diagnostic Dump</w:t>
            </w:r>
          </w:p>
        </w:tc>
        <w:tc>
          <w:tcPr>
            <w:tcW w:type="dxa" w:w="11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1,024 B, multi-token</w:t>
            </w:r>
          </w:p>
        </w:tc>
        <w:tc>
          <w:tcPr>
            <w:tcW w:type="dxa" w:w="8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13.3406 ms</w:t>
            </w:r>
          </w:p>
        </w:tc>
        <w:tc>
          <w:tcPr>
            <w:tcW w:type="dxa" w:w="1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75/s</w:t>
            </w:r>
          </w:p>
        </w:tc>
        <w:tc>
          <w:tcPr>
            <w:tcW w:type="dxa" w:w="104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1,200/s</w:t>
            </w:r>
          </w:p>
        </w:tc>
      </w:tr>
    </w:tbl>
    <w:p>
      <w:pPr>
        <w:pStyle w:val="Caption"/>
        <w:spacing w:after="80" w:before="0"/>
      </w:pPr>
    </w:p>
    <w:p>
      <w:pPr>
        <w:pStyle w:val="Body"/>
        <w:jc w:val="both"/>
      </w:pPr>
      <w:r>
        <w:rPr>
          <w:rFonts w:ascii="Times New Roman" w:cs="Times New Roman" w:eastAsia="Times New Roman" w:hAnsi="Times New Roman"/>
          <w:b w:val="false"/>
          <w:bCs w:val="false"/>
          <w:i w:val="false"/>
          <w:iCs w:val="false"/>
          <w:sz w:val="20"/>
          <w:szCs w:val="20"/>
        </w:rPr>
        <w:t xml:space="preserve">Under involved multi-token streams requiring cryptographic vaulting, horizontal sidecar scaling across 16 cores sustains 4,592 lines/s. On characteristic Kubernetes microservice streams where 65% of lines include no candidate keywords, single-core throughput is </w:t>
      </w:r>
      <w:r>
        <w:rPr>
          <w:rFonts w:ascii="Times New Roman" w:cs="Times New Roman" w:eastAsia="Times New Roman" w:hAnsi="Times New Roman"/>
          <w:b/>
          <w:bCs/>
          <w:i w:val="false"/>
          <w:iCs w:val="false"/>
          <w:sz w:val="20"/>
          <w:szCs w:val="20"/>
        </w:rPr>
        <w:t xml:space="preserve">4,786 lines/s</w:t>
      </w:r>
      <w:r>
        <w:rPr>
          <w:rFonts w:ascii="Times New Roman" w:cs="Times New Roman" w:eastAsia="Times New Roman" w:hAnsi="Times New Roman"/>
          <w:b w:val="false"/>
          <w:bCs w:val="false"/>
          <w:i w:val="false"/>
          <w:iCs w:val="false"/>
          <w:sz w:val="20"/>
          <w:szCs w:val="20"/>
        </w:rPr>
        <w:t xml:space="preserve"> (413 million lines/day), easily exceeding the peak output of enterprise containers (500–1,500 lines/s). Throughput scales inversely with latency: Throughput = 1/Latency (Fig. 7). Table VIII details component-level cryptographic throughput.</w:t>
      </w:r>
    </w:p>
    <w:p>
      <w:pPr>
        <w:keepNext/>
        <w:spacing w:after="40" w:before="100"/>
        <w:jc w:val="center"/>
      </w:pPr>
      <w:r>
        <w:drawing>
          <wp:inline distT="0" distB="0" distL="0" distR="0">
            <wp:extent cx="3105150" cy="1495425"/>
            <wp:effectExtent t="0" r="0" b="0" l="0"/>
            <wp:docPr id="1" name="Fig7" descr="Processing latency breakdown across the stages (left) and throughput scaling across payload sizes from 256 B to 8 KB (right)."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495425"/>
                    </a:xfrm>
                    <a:prstGeom prst="rect">
                      <a:avLst/>
                    </a:prstGeom>
                  </pic:spPr>
                </pic:pic>
              </a:graphicData>
            </a:graphic>
          </wp:inline>
        </w:drawing>
      </w:r>
    </w:p>
    <w:p>
      <w:pPr>
        <w:pStyle w:val="Caption"/>
        <w:spacing w:after="120" w:before="0"/>
        <w:jc w:val="both"/>
      </w:pPr>
      <w:r>
        <w:rPr>
          <w:rFonts w:ascii="Times New Roman" w:cs="Times New Roman" w:eastAsia="Times New Roman" w:hAnsi="Times New Roman"/>
          <w:b w:val="false"/>
          <w:bCs w:val="false"/>
          <w:i w:val="false"/>
          <w:iCs w:val="false"/>
          <w:sz w:val="16"/>
          <w:szCs w:val="16"/>
        </w:rPr>
        <w:t xml:space="preserve">Fig. 7. Processing latency breakdown across the stages (left) and throughput scaling across payload sizes from 256 B to 8 KB (right).</w:t>
      </w:r>
    </w:p>
    <w:p>
      <w:pPr>
        <w:pStyle w:val="Caption"/>
        <w:keepNext/>
        <w:spacing w:after="0" w:before="120"/>
        <w:jc w:val="center"/>
      </w:pPr>
      <w:r>
        <w:rPr>
          <w:rFonts w:ascii="Times New Roman" w:cs="Times New Roman" w:eastAsia="Times New Roman" w:hAnsi="Times New Roman"/>
          <w:sz w:val="16"/>
          <w:szCs w:val="16"/>
        </w:rPr>
        <w:t xml:space="preserve">TABLE VIII</w:t>
      </w:r>
    </w:p>
    <w:p>
      <w:pPr>
        <w:pStyle w:val="Caption"/>
        <w:keepNext/>
        <w:spacing w:after="60" w:before="0"/>
        <w:jc w:val="center"/>
      </w:pPr>
      <w:r>
        <w:rPr>
          <w:rFonts w:ascii="Times New Roman" w:cs="Times New Roman" w:eastAsia="Times New Roman" w:hAnsi="Times New Roman"/>
          <w:b w:val="false"/>
          <w:bCs w:val="false"/>
          <w:i w:val="false"/>
          <w:iCs w:val="false"/>
          <w:smallCaps/>
          <w:sz w:val="16"/>
          <w:szCs w:val="16"/>
        </w:rPr>
        <w:t xml:space="preserve">Cryptographic &amp; Lineage Latency Profile</w:t>
      </w:r>
    </w:p>
    <w:tbl>
      <w:tblPr>
        <w:tblW w:type="dxa" w:w="504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1000"/>
        <w:gridCol w:w="1040"/>
      </w:tblGrid>
      <w:tr>
        <w:trPr>
          <w:cantSplit/>
          <w:tblHeader/>
        </w:trPr>
        <w:tc>
          <w:tcPr>
            <w:tcW w:type="dxa" w:w="3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Constituent Cryptographic Operation</w:t>
            </w:r>
          </w:p>
        </w:tc>
        <w:tc>
          <w:tcPr>
            <w:tcW w:type="dxa" w:w="100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Mean Time</w:t>
            </w:r>
          </w:p>
        </w:tc>
        <w:tc>
          <w:tcPr>
            <w:tcW w:type="dxa" w:w="1040"/>
            <w:tcBorders>
              <w:top w:val="single" w:color="000000" w:sz="6"/>
              <w:left w:val="none" w:color="FFFFFF" w:sz="0"/>
              <w:bottom w:val="single" w:color="000000" w:sz="4"/>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bCs/>
                <w:i w:val="false"/>
                <w:iCs w:val="false"/>
                <w:sz w:val="16"/>
                <w:szCs w:val="16"/>
              </w:rPr>
              <w:t xml:space="preserve">Throughput</w:t>
            </w:r>
          </w:p>
        </w:tc>
      </w:tr>
      <w:tr>
        <w:trPr>
          <w:cantSplit/>
        </w:trPr>
        <w:tc>
          <w:tcPr>
            <w:tcW w:type="dxa" w:w="3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SecureReveal AES-128-CBC Encrypt &amp; Vault Store</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18.09 ms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55.3 ops/s</w:t>
            </w:r>
          </w:p>
        </w:tc>
      </w:tr>
      <w:tr>
        <w:trPr>
          <w:cantSplit/>
        </w:trPr>
        <w:tc>
          <w:tcPr>
            <w:tcW w:type="dxa" w:w="3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SecureReveal Vault Retrieve &amp; Fernet Decrypt</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18.36 ms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54.5 ops/s</w:t>
            </w:r>
          </w:p>
        </w:tc>
      </w:tr>
      <w:tr>
        <w:trPr>
          <w:cantSplit/>
        </w:trPr>
        <w:tc>
          <w:tcPr>
            <w:tcW w:type="dxa" w:w="3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SecureReveal Audit Hash Chain Verification</w:t>
            </w:r>
          </w:p>
        </w:tc>
        <w:tc>
          <w:tcPr>
            <w:tcW w:type="dxa" w:w="100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5.66 ms</w:t>
            </w:r>
          </w:p>
        </w:tc>
        <w:tc>
          <w:tcPr>
            <w:tcW w:type="dxa" w:w="1040"/>
            <w:tcBorders>
              <w:top w:val="none" w:color="FFFFFF" w:sz="0"/>
              <w:left w:val="none" w:color="FFFFFF" w:sz="0"/>
              <w:bottom w:val="none" w:color="FFFFFF" w:sz="0"/>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176.6 ops/s</w:t>
            </w:r>
          </w:p>
        </w:tc>
      </w:tr>
      <w:tr>
        <w:trPr>
          <w:cantSplit/>
        </w:trPr>
        <w:tc>
          <w:tcPr>
            <w:tcW w:type="dxa" w:w="3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left"/>
            </w:pPr>
            <w:r>
              <w:rPr>
                <w:rFonts w:ascii="Times New Roman" w:cs="Times New Roman" w:eastAsia="Times New Roman" w:hAnsi="Times New Roman"/>
                <w:b w:val="false"/>
                <w:bCs w:val="false"/>
                <w:i w:val="false"/>
                <w:iCs w:val="false"/>
                <w:sz w:val="16"/>
                <w:szCs w:val="16"/>
              </w:rPr>
              <w:t xml:space="preserve">SecretLineage Blind HMAC-SHA256 Fingerprint</w:t>
            </w:r>
          </w:p>
        </w:tc>
        <w:tc>
          <w:tcPr>
            <w:tcW w:type="dxa" w:w="100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6.66 ms</w:t>
            </w:r>
          </w:p>
        </w:tc>
        <w:tc>
          <w:tcPr>
            <w:tcW w:type="dxa" w:w="1040"/>
            <w:tcBorders>
              <w:top w:val="none" w:color="FFFFFF" w:sz="0"/>
              <w:left w:val="none" w:color="FFFFFF" w:sz="0"/>
              <w:bottom w:val="single" w:color="000000" w:sz="6"/>
              <w:right w:val="none" w:color="FFFFFF" w:sz="0"/>
            </w:tcBorders>
            <w:tcMar>
              <w:top w:type="dxa" w:w="25"/>
              <w:left w:type="dxa" w:w="55"/>
              <w:bottom w:type="dxa" w:w="25"/>
              <w:right w:type="dxa" w:w="55"/>
            </w:tcMar>
            <w:vAlign w:val="center"/>
          </w:tcPr>
          <w:p>
            <w:pPr>
              <w:pStyle w:val="TableText"/>
              <w:jc w:val="center"/>
            </w:pPr>
            <w:r>
              <w:rPr>
                <w:rFonts w:ascii="Times New Roman" w:cs="Times New Roman" w:eastAsia="Times New Roman" w:hAnsi="Times New Roman"/>
                <w:b w:val="false"/>
                <w:bCs w:val="false"/>
                <w:i w:val="false"/>
                <w:iCs w:val="false"/>
                <w:sz w:val="16"/>
                <w:szCs w:val="16"/>
              </w:rPr>
              <w:t xml:space="preserve">150.2 ops/s</w:t>
            </w:r>
          </w:p>
        </w:tc>
      </w:tr>
    </w:tbl>
    <w:p>
      <w:pPr>
        <w:pStyle w:val="Caption"/>
        <w:spacing w:after="80" w:before="0"/>
      </w:pPr>
    </w:p>
    <w:p>
      <w:pPr>
        <w:pStyle w:val="Heading2"/>
        <w:pStyle w:val="Heading2"/>
      </w:pPr>
      <w:r>
        <w:rPr>
          <w:rFonts w:ascii="Times New Roman" w:cs="Times New Roman" w:eastAsia="Times New Roman" w:hAnsi="Times New Roman"/>
          <w:b w:val="false"/>
          <w:bCs w:val="false"/>
          <w:i/>
          <w:iCs/>
          <w:sz w:val="20"/>
          <w:szCs w:val="20"/>
        </w:rPr>
        <w:t xml:space="preserve">H. Hard-Negative Suppression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LogShield showed 100% true-negative suppression (433/433 = 100.0%) across eight challenging non-secret identifier categories: UUIDv4 tokens (128), Git commit hashes (74), MD5 ETags (65), Docker SHA-256 digests (52), hex strings (44), JWT non-secrets (35), Base64 data (22), and high-entropy random strings (13). All were classified as benign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&lt; 50), eliminating the alert fatigue characteristic of heuristic scanners.</w:t>
      </w:r>
    </w:p>
    <w:p>
      <w:pPr>
        <w:pStyle w:val="Heading2"/>
        <w:pStyle w:val="Heading2"/>
      </w:pPr>
      <w:r>
        <w:rPr>
          <w:rFonts w:ascii="Times New Roman" w:cs="Times New Roman" w:eastAsia="Times New Roman" w:hAnsi="Times New Roman"/>
          <w:b w:val="false"/>
          <w:bCs w:val="false"/>
          <w:i/>
          <w:iCs/>
          <w:sz w:val="20"/>
          <w:szCs w:val="20"/>
        </w:rPr>
        <w:t xml:space="preserve">I. Isolated Five-Microservice Kubernetes Testbed</w:t>
      </w:r>
    </w:p>
    <w:p>
      <w:pPr>
        <w:pStyle w:val="Body"/>
        <w:ind w:firstLine="0"/>
        <w:jc w:val="both"/>
      </w:pPr>
      <w:r>
        <w:rPr>
          <w:rFonts w:ascii="Times New Roman" w:cs="Times New Roman" w:eastAsia="Times New Roman" w:hAnsi="Times New Roman"/>
          <w:b w:val="false"/>
          <w:bCs w:val="false"/>
          <w:i w:val="false"/>
          <w:iCs w:val="false"/>
          <w:sz w:val="20"/>
          <w:szCs w:val="20"/>
        </w:rPr>
        <w:t xml:space="preserve">Continuous HTTP transactions were modeled by a headless traffic generator while real-world credential leaks were injected intermittently, and LogShield was deployed across an isolated 5-microservice Kubernetes test cluster comprising </w:t>
      </w:r>
      <w:r>
        <w:rPr>
          <w:rFonts w:ascii="Courier New" w:cs="Courier New" w:eastAsia="Courier New" w:hAnsi="Courier New"/>
          <w:b w:val="false"/>
          <w:bCs w:val="false"/>
          <w:i w:val="false"/>
          <w:iCs w:val="false"/>
          <w:sz w:val="18"/>
          <w:szCs w:val="18"/>
        </w:rPr>
        <w:t xml:space="preserve">auth-service</w:t>
      </w:r>
      <w:r>
        <w:rPr>
          <w:rFonts w:ascii="Times New Roman" w:cs="Times New Roman" w:eastAsia="Times New Roman" w:hAnsi="Times New Roman"/>
          <w:b w:val="false"/>
          <w:bCs w:val="false"/>
          <w:i w:val="false"/>
          <w:iCs w:val="false"/>
          <w:sz w:val="20"/>
          <w:szCs w:val="20"/>
        </w:rPr>
        <w:t xml:space="preserve"> (FastAPI/JWT), </w:t>
      </w:r>
      <w:r>
        <w:rPr>
          <w:rFonts w:ascii="Courier New" w:cs="Courier New" w:eastAsia="Courier New" w:hAnsi="Courier New"/>
          <w:b w:val="false"/>
          <w:bCs w:val="false"/>
          <w:i w:val="false"/>
          <w:iCs w:val="false"/>
          <w:sz w:val="18"/>
          <w:szCs w:val="18"/>
        </w:rPr>
        <w:t xml:space="preserve">payment-service</w:t>
      </w:r>
      <w:r>
        <w:rPr>
          <w:rFonts w:ascii="Times New Roman" w:cs="Times New Roman" w:eastAsia="Times New Roman" w:hAnsi="Times New Roman"/>
          <w:b w:val="false"/>
          <w:bCs w:val="false"/>
          <w:i w:val="false"/>
          <w:iCs w:val="false"/>
          <w:sz w:val="20"/>
          <w:szCs w:val="20"/>
        </w:rPr>
        <w:t xml:space="preserve"> (Stripe gateway), </w:t>
      </w:r>
      <w:r>
        <w:rPr>
          <w:rFonts w:ascii="Courier New" w:cs="Courier New" w:eastAsia="Courier New" w:hAnsi="Courier New"/>
          <w:b w:val="false"/>
          <w:bCs w:val="false"/>
          <w:i w:val="false"/>
          <w:iCs w:val="false"/>
          <w:sz w:val="18"/>
          <w:szCs w:val="18"/>
        </w:rPr>
        <w:t xml:space="preserve">user-service</w:t>
      </w:r>
      <w:r>
        <w:rPr>
          <w:rFonts w:ascii="Times New Roman" w:cs="Times New Roman" w:eastAsia="Times New Roman" w:hAnsi="Times New Roman"/>
          <w:b w:val="false"/>
          <w:bCs w:val="false"/>
          <w:i w:val="false"/>
          <w:iCs w:val="false"/>
          <w:sz w:val="20"/>
          <w:szCs w:val="20"/>
        </w:rPr>
        <w:t xml:space="preserve"> (PostgreSQL), </w:t>
      </w:r>
      <w:r>
        <w:rPr>
          <w:rFonts w:ascii="Courier New" w:cs="Courier New" w:eastAsia="Courier New" w:hAnsi="Courier New"/>
          <w:b w:val="false"/>
          <w:bCs w:val="false"/>
          <w:i w:val="false"/>
          <w:iCs w:val="false"/>
          <w:sz w:val="18"/>
          <w:szCs w:val="18"/>
        </w:rPr>
        <w:t xml:space="preserve">inventory-service</w:t>
      </w:r>
      <w:r>
        <w:rPr>
          <w:rFonts w:ascii="Times New Roman" w:cs="Times New Roman" w:eastAsia="Times New Roman" w:hAnsi="Times New Roman"/>
          <w:b w:val="false"/>
          <w:bCs w:val="false"/>
          <w:i w:val="false"/>
          <w:iCs w:val="false"/>
          <w:sz w:val="20"/>
          <w:szCs w:val="20"/>
        </w:rPr>
        <w:t xml:space="preserve"> (Redis), and </w:t>
      </w:r>
      <w:r>
        <w:rPr>
          <w:rFonts w:ascii="Courier New" w:cs="Courier New" w:eastAsia="Courier New" w:hAnsi="Courier New"/>
          <w:b w:val="false"/>
          <w:bCs w:val="false"/>
          <w:i w:val="false"/>
          <w:iCs w:val="false"/>
          <w:sz w:val="18"/>
          <w:szCs w:val="18"/>
        </w:rPr>
        <w:t xml:space="preserve">notification-service</w:t>
      </w:r>
      <w:r>
        <w:rPr>
          <w:rFonts w:ascii="Times New Roman" w:cs="Times New Roman" w:eastAsia="Times New Roman" w:hAnsi="Times New Roman"/>
          <w:b w:val="false"/>
          <w:bCs w:val="false"/>
          <w:i w:val="false"/>
          <w:iCs w:val="false"/>
          <w:sz w:val="20"/>
          <w:szCs w:val="20"/>
        </w:rPr>
        <w:t xml:space="preserve"> (Email/Slack). Across 100,000 generated transactions, LogShield intercepted and masked all tested credentials that met the operational threshold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 ≥ 80), while cluster metrics were visualized in real time by the dashboard, running validated SecureReveal decryptions and mapping credential sprawl across </w:t>
      </w:r>
      <w:r>
        <w:rPr>
          <w:rFonts w:ascii="Courier New" w:cs="Courier New" w:eastAsia="Courier New" w:hAnsi="Courier New"/>
          <w:b w:val="false"/>
          <w:bCs w:val="false"/>
          <w:i w:val="false"/>
          <w:iCs w:val="false"/>
          <w:sz w:val="18"/>
          <w:szCs w:val="18"/>
        </w:rPr>
        <w:t xml:space="preserve">auth-service</w:t>
      </w:r>
      <w:r>
        <w:rPr>
          <w:rFonts w:ascii="Times New Roman" w:cs="Times New Roman" w:eastAsia="Times New Roman" w:hAnsi="Times New Roman"/>
          <w:b w:val="false"/>
          <w:bCs w:val="false"/>
          <w:i w:val="false"/>
          <w:iCs w:val="false"/>
          <w:sz w:val="20"/>
          <w:szCs w:val="20"/>
        </w:rPr>
        <w:t xml:space="preserve"> and </w:t>
      </w:r>
      <w:r>
        <w:rPr>
          <w:rFonts w:ascii="Courier New" w:cs="Courier New" w:eastAsia="Courier New" w:hAnsi="Courier New"/>
          <w:b w:val="false"/>
          <w:bCs w:val="false"/>
          <w:i w:val="false"/>
          <w:iCs w:val="false"/>
          <w:sz w:val="18"/>
          <w:szCs w:val="18"/>
        </w:rPr>
        <w:t xml:space="preserve">payment-service</w:t>
      </w:r>
      <w:r>
        <w:rPr>
          <w:rFonts w:ascii="Times New Roman" w:cs="Times New Roman" w:eastAsia="Times New Roman" w:hAnsi="Times New Roman"/>
          <w:b w:val="false"/>
          <w:bCs w:val="false"/>
          <w:i w:val="false"/>
          <w:iCs w:val="false"/>
          <w:sz w:val="20"/>
          <w:szCs w:val="20"/>
        </w:rPr>
        <w:t xml:space="preserve">. Throughout testing, each sidecar sustained a memory footprint under </w:t>
      </w:r>
      <w:r>
        <w:rPr>
          <w:rFonts w:ascii="Times New Roman" w:cs="Times New Roman" w:eastAsia="Times New Roman" w:hAnsi="Times New Roman"/>
          <w:b/>
          <w:bCs/>
          <w:i w:val="false"/>
          <w:iCs w:val="false"/>
          <w:sz w:val="20"/>
          <w:szCs w:val="20"/>
        </w:rPr>
        <w:t xml:space="preserve">45 MB RSS</w:t>
      </w:r>
      <w:r>
        <w:rPr>
          <w:rFonts w:ascii="Times New Roman" w:cs="Times New Roman" w:eastAsia="Times New Roman" w:hAnsi="Times New Roman"/>
          <w:b w:val="false"/>
          <w:bCs w:val="false"/>
          <w:i w:val="false"/>
          <w:iCs w:val="false"/>
          <w:sz w:val="20"/>
          <w:szCs w:val="20"/>
        </w:rPr>
        <w:t xml:space="preserve"> and consumed a sub-threshold </w:t>
      </w:r>
      <w:r>
        <w:rPr>
          <w:rFonts w:ascii="Times New Roman" w:cs="Times New Roman" w:eastAsia="Times New Roman" w:hAnsi="Times New Roman"/>
          <w:b/>
          <w:bCs/>
          <w:i w:val="false"/>
          <w:iCs w:val="false"/>
          <w:sz w:val="20"/>
          <w:szCs w:val="20"/>
        </w:rPr>
        <w:t xml:space="preserve">2.5% of a single vCPU</w:t>
      </w:r>
      <w:r>
        <w:rPr>
          <w:rFonts w:ascii="Times New Roman" w:cs="Times New Roman" w:eastAsia="Times New Roman" w:hAnsi="Times New Roman"/>
          <w:b w:val="false"/>
          <w:bCs w:val="false"/>
          <w:i w:val="false"/>
          <w:iCs w:val="false"/>
          <w:sz w:val="20"/>
          <w:szCs w:val="20"/>
        </w:rPr>
        <w:t xml:space="preserve">.</w:t>
      </w:r>
    </w:p>
    <w:p>
      <w:pPr>
        <w:pStyle w:val="Heading1"/>
        <w:pStyle w:val="Heading1"/>
      </w:pPr>
      <w:r>
        <w:rPr>
          <w:rFonts w:ascii="Times New Roman" w:cs="Times New Roman" w:eastAsia="Times New Roman" w:hAnsi="Times New Roman"/>
          <w:smallCaps/>
          <w:sz w:val="20"/>
          <w:szCs w:val="20"/>
        </w:rPr>
        <w:t xml:space="preserve">VIII. </w:t>
      </w:r>
      <w:r>
        <w:rPr>
          <w:rFonts w:ascii="Times New Roman" w:cs="Times New Roman" w:eastAsia="Times New Roman" w:hAnsi="Times New Roman"/>
          <w:smallCaps/>
          <w:sz w:val="20"/>
          <w:szCs w:val="20"/>
        </w:rPr>
        <w:t xml:space="preserve">Security Analysis &amp; Failure Modes</w:t>
      </w:r>
    </w:p>
    <w:p>
      <w:pPr>
        <w:pStyle w:val="Heading2"/>
        <w:pStyle w:val="Heading2"/>
      </w:pPr>
      <w:r>
        <w:rPr>
          <w:rFonts w:ascii="Times New Roman" w:cs="Times New Roman" w:eastAsia="Times New Roman" w:hAnsi="Times New Roman"/>
          <w:b w:val="false"/>
          <w:bCs w:val="false"/>
          <w:i/>
          <w:iCs/>
          <w:sz w:val="20"/>
          <w:szCs w:val="20"/>
        </w:rPr>
        <w:t xml:space="preserve">A. ReDoS Resistance</w:t>
      </w:r>
    </w:p>
    <w:p>
      <w:pPr>
        <w:pStyle w:val="Body"/>
        <w:ind w:firstLine="0"/>
        <w:jc w:val="both"/>
      </w:pPr>
      <w:r>
        <w:rPr>
          <w:rFonts w:ascii="Times New Roman" w:cs="Times New Roman" w:eastAsia="Times New Roman" w:hAnsi="Times New Roman"/>
          <w:b w:val="false"/>
          <w:bCs w:val="false"/>
          <w:i w:val="false"/>
          <w:iCs w:val="false"/>
          <w:sz w:val="20"/>
          <w:szCs w:val="20"/>
        </w:rPr>
        <w:t xml:space="preserve">Regular Expression Denial of Service (ReDoS) arises when an attacker inputs strings that trigger rapid backtracking in regular expression engines. LogShield protects against this vulnerability through three mechanisms:</w:t>
      </w:r>
    </w:p>
    <w:p>
      <w:pPr>
        <w:pStyle w:val="ListItem"/>
        <w:numPr>
          <w:ilvl w:val="0"/>
          <w:numId w:val="10"/>
        </w:numPr>
        <w:jc w:val="both"/>
      </w:pPr>
      <w:r>
        <w:rPr>
          <w:rFonts w:ascii="Times New Roman" w:cs="Times New Roman" w:eastAsia="Times New Roman" w:hAnsi="Times New Roman"/>
          <w:b w:val="false"/>
          <w:bCs w:val="false"/>
          <w:i/>
          <w:iCs/>
          <w:sz w:val="20"/>
          <w:szCs w:val="20"/>
        </w:rPr>
        <w:t xml:space="preserve">Static Regex Auditing:</w:t>
      </w:r>
      <w:r>
        <w:rPr>
          <w:rFonts w:ascii="Times New Roman" w:cs="Times New Roman" w:eastAsia="Times New Roman" w:hAnsi="Times New Roman"/>
          <w:b w:val="false"/>
          <w:bCs w:val="false"/>
          <w:i w:val="false"/>
          <w:iCs w:val="false"/>
          <w:sz w:val="20"/>
          <w:szCs w:val="20"/>
        </w:rPr>
        <w:t xml:space="preserve"> All 1,361+ expressions were audited to remove nested quantifiers (e.g., </w:t>
      </w:r>
      <w:r>
        <w:rPr>
          <w:rFonts w:ascii="Courier New" w:cs="Courier New" w:eastAsia="Courier New" w:hAnsi="Courier New"/>
          <w:b w:val="false"/>
          <w:bCs w:val="false"/>
          <w:i w:val="false"/>
          <w:iCs w:val="false"/>
          <w:sz w:val="18"/>
          <w:szCs w:val="18"/>
        </w:rPr>
        <w:t xml:space="preserve">(a+)+</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10"/>
        </w:numPr>
        <w:jc w:val="both"/>
      </w:pPr>
      <w:r>
        <w:rPr>
          <w:rFonts w:ascii="Times New Roman" w:cs="Times New Roman" w:eastAsia="Times New Roman" w:hAnsi="Times New Roman"/>
          <w:b w:val="false"/>
          <w:bCs w:val="false"/>
          <w:i/>
          <w:iCs/>
          <w:sz w:val="20"/>
          <w:szCs w:val="20"/>
        </w:rPr>
        <w:t xml:space="preserve">Automaton Keyword Gating:</w:t>
      </w:r>
      <w:r>
        <w:rPr>
          <w:rFonts w:ascii="Times New Roman" w:cs="Times New Roman" w:eastAsia="Times New Roman" w:hAnsi="Times New Roman"/>
          <w:b w:val="false"/>
          <w:bCs w:val="false"/>
          <w:i w:val="false"/>
          <w:iCs w:val="false"/>
          <w:sz w:val="20"/>
          <w:szCs w:val="20"/>
        </w:rPr>
        <w:t xml:space="preserve"> Expensive expressions in Stage 4 run only when matching vendor keywords are corroborated in Stage 2.</w:t>
      </w:r>
    </w:p>
    <w:p>
      <w:pPr>
        <w:pStyle w:val="ListItem"/>
        <w:numPr>
          <w:ilvl w:val="0"/>
          <w:numId w:val="10"/>
        </w:numPr>
        <w:jc w:val="both"/>
      </w:pPr>
      <w:r>
        <w:rPr>
          <w:rFonts w:ascii="Times New Roman" w:cs="Times New Roman" w:eastAsia="Times New Roman" w:hAnsi="Times New Roman"/>
          <w:b w:val="false"/>
          <w:bCs w:val="false"/>
          <w:i/>
          <w:iCs/>
          <w:sz w:val="20"/>
          <w:szCs w:val="20"/>
        </w:rPr>
        <w:t xml:space="preserve">Watchdog Timers:</w:t>
      </w:r>
      <w:r>
        <w:rPr>
          <w:rFonts w:ascii="Times New Roman" w:cs="Times New Roman" w:eastAsia="Times New Roman" w:hAnsi="Times New Roman"/>
          <w:b w:val="false"/>
          <w:bCs w:val="false"/>
          <w:i w:val="false"/>
          <w:iCs w:val="false"/>
          <w:sz w:val="20"/>
          <w:szCs w:val="20"/>
        </w:rPr>
        <w:t xml:space="preserve"> Candidate regex evaluations are bounded by an asynchronous 5.0 ms watchdog timer; if an expression exceeds this window, it is stopped and routed to a fallback heuristic.</w:t>
      </w:r>
    </w:p>
    <w:p>
      <w:pPr>
        <w:pStyle w:val="Heading2"/>
        <w:pStyle w:val="Heading2"/>
      </w:pPr>
      <w:r>
        <w:rPr>
          <w:rFonts w:ascii="Times New Roman" w:cs="Times New Roman" w:eastAsia="Times New Roman" w:hAnsi="Times New Roman"/>
          <w:b w:val="false"/>
          <w:bCs w:val="false"/>
          <w:i/>
          <w:iCs/>
          <w:sz w:val="20"/>
          <w:szCs w:val="20"/>
        </w:rPr>
        <w:t xml:space="preserve">B. Fail-Open vs. Fail-Secure Policy</w:t>
      </w:r>
    </w:p>
    <w:p>
      <w:pPr>
        <w:pStyle w:val="Body"/>
        <w:ind w:firstLine="0"/>
        <w:jc w:val="both"/>
      </w:pPr>
      <w:r>
        <w:rPr>
          <w:rFonts w:ascii="Times New Roman" w:cs="Times New Roman" w:eastAsia="Times New Roman" w:hAnsi="Times New Roman"/>
          <w:b w:val="false"/>
          <w:bCs w:val="false"/>
          <w:i w:val="false"/>
          <w:iCs w:val="false"/>
          <w:sz w:val="20"/>
          <w:szCs w:val="20"/>
        </w:rPr>
        <w:t xml:space="preserve">In the event of an unhandled exception or memory limit warning, LogShield defaults to </w:t>
      </w:r>
      <w:r>
        <w:rPr>
          <w:rFonts w:ascii="Times New Roman" w:cs="Times New Roman" w:eastAsia="Times New Roman" w:hAnsi="Times New Roman"/>
          <w:b/>
          <w:bCs/>
          <w:i w:val="false"/>
          <w:iCs w:val="false"/>
          <w:sz w:val="20"/>
          <w:szCs w:val="20"/>
        </w:rPr>
        <w:t xml:space="preserve">Fail-Open with Immediate Alerting</w:t>
      </w:r>
      <w:r>
        <w:rPr>
          <w:rFonts w:ascii="Times New Roman" w:cs="Times New Roman" w:eastAsia="Times New Roman" w:hAnsi="Times New Roman"/>
          <w:b w:val="false"/>
          <w:bCs w:val="false"/>
          <w:i w:val="false"/>
          <w:iCs w:val="false"/>
          <w:sz w:val="20"/>
          <w:szCs w:val="20"/>
        </w:rPr>
        <w:t xml:space="preserve">. Log streams continue flowing to prevent application service interruption, while a Prometheus metric (</w:t>
      </w:r>
      <w:r>
        <w:rPr>
          <w:rFonts w:ascii="Courier New" w:cs="Courier New" w:eastAsia="Courier New" w:hAnsi="Courier New"/>
          <w:b w:val="false"/>
          <w:bCs w:val="false"/>
          <w:i w:val="false"/>
          <w:iCs w:val="false"/>
          <w:sz w:val="18"/>
          <w:szCs w:val="18"/>
        </w:rPr>
        <w:t xml:space="preserve">logshield_failopen_active</w:t>
      </w:r>
      <w:r>
        <w:rPr>
          <w:rFonts w:ascii="Times New Roman" w:cs="Times New Roman" w:eastAsia="Times New Roman" w:hAnsi="Times New Roman"/>
          <w:b w:val="false"/>
          <w:bCs w:val="false"/>
          <w:i w:val="false"/>
          <w:iCs w:val="false"/>
          <w:sz w:val="20"/>
          <w:szCs w:val="20"/>
        </w:rPr>
        <w:t xml:space="preserve">) fires to alert security operations teams. For high-assurance compliance environments where confidentiality overrides availability, administrators can configure </w:t>
      </w:r>
      <w:r>
        <w:rPr>
          <w:rFonts w:ascii="Courier New" w:cs="Courier New" w:eastAsia="Courier New" w:hAnsi="Courier New"/>
          <w:b w:val="false"/>
          <w:bCs w:val="false"/>
          <w:i w:val="false"/>
          <w:iCs w:val="false"/>
          <w:sz w:val="18"/>
          <w:szCs w:val="18"/>
        </w:rPr>
        <w:t xml:space="preserve">FAIL_SECURE=true</w:t>
      </w:r>
      <w:r>
        <w:rPr>
          <w:rFonts w:ascii="Times New Roman" w:cs="Times New Roman" w:eastAsia="Times New Roman" w:hAnsi="Times New Roman"/>
          <w:b w:val="false"/>
          <w:bCs w:val="false"/>
          <w:i w:val="false"/>
          <w:iCs w:val="false"/>
          <w:sz w:val="20"/>
          <w:szCs w:val="20"/>
        </w:rPr>
        <w:t xml:space="preserve">, dropping unparseable lines.</w:t>
      </w:r>
    </w:p>
    <w:p>
      <w:pPr>
        <w:pStyle w:val="Heading2"/>
        <w:pStyle w:val="Heading2"/>
      </w:pPr>
      <w:r>
        <w:rPr>
          <w:rFonts w:ascii="Times New Roman" w:cs="Times New Roman" w:eastAsia="Times New Roman" w:hAnsi="Times New Roman"/>
          <w:b w:val="false"/>
          <w:bCs w:val="false"/>
          <w:i/>
          <w:iCs/>
          <w:sz w:val="20"/>
          <w:szCs w:val="20"/>
        </w:rPr>
        <w:t xml:space="preserve">C. Adversarial Robustness &amp; Edge-Case Verification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We subjected LogShield to 14 automated adversarial tests covering four attack vectors: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Exemption Abuse Defense:</w:t>
      </w:r>
      <w:r>
        <w:rPr>
          <w:rFonts w:ascii="Times New Roman" w:cs="Times New Roman" w:eastAsia="Times New Roman" w:hAnsi="Times New Roman"/>
          <w:b w:val="false"/>
          <w:bCs w:val="false"/>
          <w:i w:val="false"/>
          <w:iCs w:val="false"/>
          <w:sz w:val="20"/>
          <w:szCs w:val="20"/>
        </w:rPr>
        <w:t xml:space="preserve"> Attempts to inject short strings (&lt; 8 chars) or generic words (</w:t>
      </w:r>
      <w:r>
        <w:rPr>
          <w:rFonts w:ascii="Courier New" w:cs="Courier New" w:eastAsia="Courier New" w:hAnsi="Courier New"/>
          <w:b w:val="false"/>
          <w:bCs w:val="false"/>
          <w:i w:val="false"/>
          <w:iCs w:val="false"/>
          <w:sz w:val="18"/>
          <w:szCs w:val="18"/>
        </w:rPr>
        <w:t xml:space="preserve">password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bearer</w:t>
      </w:r>
      <w:r>
        <w:rPr>
          <w:rFonts w:ascii="Times New Roman" w:cs="Times New Roman" w:eastAsia="Times New Roman" w:hAnsi="Times New Roman"/>
          <w:b w:val="false"/>
          <w:bCs w:val="false"/>
          <w:i w:val="false"/>
          <w:iCs w:val="false"/>
          <w:sz w:val="20"/>
          <w:szCs w:val="20"/>
        </w:rPr>
        <w:t xml:space="preserve">) are rejected by the Exemption Engine; across 1-bit variations, collision resistance is preserved by cryptographic blind HMACs. Ingestion attempts by unauthorized actors return </w:t>
      </w:r>
      <w:r>
        <w:rPr>
          <w:rFonts w:ascii="Courier New" w:cs="Courier New" w:eastAsia="Courier New" w:hAnsi="Courier New"/>
          <w:b w:val="false"/>
          <w:bCs w:val="false"/>
          <w:i w:val="false"/>
          <w:iCs w:val="false"/>
          <w:sz w:val="18"/>
          <w:szCs w:val="18"/>
        </w:rPr>
        <w:t xml:space="preserve">PermissionError</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Vault Tampering Detection:</w:t>
      </w:r>
      <w:r>
        <w:rPr>
          <w:rFonts w:ascii="Times New Roman" w:cs="Times New Roman" w:eastAsia="Times New Roman" w:hAnsi="Times New Roman"/>
          <w:b w:val="false"/>
          <w:bCs w:val="false"/>
          <w:i w:val="false"/>
          <w:iCs w:val="false"/>
          <w:sz w:val="20"/>
          <w:szCs w:val="20"/>
        </w:rPr>
        <w:t xml:space="preserve"> Unauthorized retrievals return </w:t>
      </w:r>
      <w:r>
        <w:rPr>
          <w:rFonts w:ascii="Courier New" w:cs="Courier New" w:eastAsia="Courier New" w:hAnsi="Courier New"/>
          <w:b w:val="false"/>
          <w:bCs w:val="false"/>
          <w:i w:val="false"/>
          <w:iCs w:val="false"/>
          <w:sz w:val="18"/>
          <w:szCs w:val="18"/>
        </w:rPr>
        <w:t xml:space="preserve">False</w:t>
      </w:r>
      <w:r>
        <w:rPr>
          <w:rFonts w:ascii="Times New Roman" w:cs="Times New Roman" w:eastAsia="Times New Roman" w:hAnsi="Times New Roman"/>
          <w:b w:val="false"/>
          <w:bCs w:val="false"/>
          <w:i w:val="false"/>
          <w:iCs w:val="false"/>
          <w:sz w:val="20"/>
          <w:szCs w:val="20"/>
        </w:rPr>
        <w:t xml:space="preserve"> and log </w:t>
      </w:r>
      <w:r>
        <w:rPr>
          <w:rFonts w:ascii="Courier New" w:cs="Courier New" w:eastAsia="Courier New" w:hAnsi="Courier New"/>
          <w:b w:val="false"/>
          <w:bCs w:val="false"/>
          <w:i w:val="false"/>
          <w:iCs w:val="false"/>
          <w:sz w:val="18"/>
          <w:szCs w:val="18"/>
        </w:rPr>
        <w:t xml:space="preserve">DENIED</w:t>
      </w:r>
      <w:r>
        <w:rPr>
          <w:rFonts w:ascii="Times New Roman" w:cs="Times New Roman" w:eastAsia="Times New Roman" w:hAnsi="Times New Roman"/>
          <w:b w:val="false"/>
          <w:bCs w:val="false"/>
          <w:i w:val="false"/>
          <w:iCs w:val="false"/>
          <w:sz w:val="20"/>
          <w:szCs w:val="20"/>
        </w:rPr>
        <w:t xml:space="preserve">; hash chaining is broken by manipulating audit entries, causing </w:t>
      </w:r>
      <w:r>
        <w:rPr>
          <w:rFonts w:ascii="Courier New" w:cs="Courier New" w:eastAsia="Courier New" w:hAnsi="Courier New"/>
          <w:b w:val="false"/>
          <w:bCs w:val="false"/>
          <w:i w:val="false"/>
          <w:iCs w:val="false"/>
          <w:sz w:val="18"/>
          <w:szCs w:val="18"/>
        </w:rPr>
        <w:t xml:space="preserve">verify_audit_chain()</w:t>
      </w:r>
      <w:r>
        <w:rPr>
          <w:rFonts w:ascii="Times New Roman" w:cs="Times New Roman" w:eastAsia="Times New Roman" w:hAnsi="Times New Roman"/>
          <w:b w:val="false"/>
          <w:bCs w:val="false"/>
          <w:i w:val="false"/>
          <w:iCs w:val="false"/>
          <w:sz w:val="20"/>
          <w:szCs w:val="20"/>
        </w:rPr>
        <w:t xml:space="preserve"> to pinpoint the exact tampered row. Direct SQLite ciphertext byte corruption is caught by Fernet HMAC checks, returning </w:t>
      </w:r>
      <w:r>
        <w:rPr>
          <w:rFonts w:ascii="Courier New" w:cs="Courier New" w:eastAsia="Courier New" w:hAnsi="Courier New"/>
          <w:b w:val="false"/>
          <w:bCs w:val="false"/>
          <w:i w:val="false"/>
          <w:iCs w:val="false"/>
          <w:sz w:val="18"/>
          <w:szCs w:val="18"/>
        </w:rPr>
        <w:t xml:space="preserve">False</w:t>
      </w:r>
      <w:r>
        <w:rPr>
          <w:rFonts w:ascii="Times New Roman" w:cs="Times New Roman" w:eastAsia="Times New Roman" w:hAnsi="Times New Roman"/>
          <w:b w:val="false"/>
          <w:bCs w:val="false"/>
          <w:i w:val="false"/>
          <w:iCs w:val="false"/>
          <w:sz w:val="20"/>
          <w:szCs w:val="20"/>
        </w:rPr>
        <w:t xml:space="preserve"> and logging </w:t>
      </w:r>
      <w:r>
        <w:rPr>
          <w:rFonts w:ascii="Courier New" w:cs="Courier New" w:eastAsia="Courier New" w:hAnsi="Courier New"/>
          <w:b w:val="false"/>
          <w:bCs w:val="false"/>
          <w:i w:val="false"/>
          <w:iCs w:val="false"/>
          <w:sz w:val="18"/>
          <w:szCs w:val="18"/>
        </w:rPr>
        <w:t xml:space="preserve">TAMPER_DETECTED</w:t>
      </w:r>
      <w:r>
        <w:rPr>
          <w:rFonts w:ascii="Times New Roman" w:cs="Times New Roman" w:eastAsia="Times New Roman" w:hAnsi="Times New Roman"/>
          <w:b w:val="false"/>
          <w:bCs w:val="false"/>
          <w:i w:val="false"/>
          <w:iCs w:val="false"/>
          <w:sz w:val="20"/>
          <w:szCs w:val="20"/>
        </w:rPr>
        <w:t xml:space="preserve">.</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Event Replay Defenses:</w:t>
      </w:r>
      <w:r>
        <w:rPr>
          <w:rFonts w:ascii="Times New Roman" w:cs="Times New Roman" w:eastAsia="Times New Roman" w:hAnsi="Times New Roman"/>
          <w:b w:val="false"/>
          <w:bCs w:val="false"/>
          <w:i w:val="false"/>
          <w:iCs w:val="false"/>
          <w:sz w:val="20"/>
          <w:szCs w:val="20"/>
        </w:rPr>
        <w:t xml:space="preserve"> Replaying an already executed containment action returns </w:t>
      </w:r>
      <w:r>
        <w:rPr>
          <w:rFonts w:ascii="Courier New" w:cs="Courier New" w:eastAsia="Courier New" w:hAnsi="Courier New"/>
          <w:b w:val="false"/>
          <w:bCs w:val="false"/>
          <w:i w:val="false"/>
          <w:iCs w:val="false"/>
          <w:sz w:val="18"/>
          <w:szCs w:val="18"/>
        </w:rPr>
        <w:t xml:space="preserve">error_code=409</w:t>
      </w:r>
      <w:r>
        <w:rPr>
          <w:rFonts w:ascii="Times New Roman" w:cs="Times New Roman" w:eastAsia="Times New Roman" w:hAnsi="Times New Roman"/>
          <w:b w:val="false"/>
          <w:bCs w:val="false"/>
          <w:i w:val="false"/>
          <w:iCs w:val="false"/>
          <w:sz w:val="20"/>
          <w:szCs w:val="20"/>
        </w:rPr>
        <w:t xml:space="preserve"> and </w:t>
      </w:r>
      <w:r>
        <w:rPr>
          <w:rFonts w:ascii="Courier New" w:cs="Courier New" w:eastAsia="Courier New" w:hAnsi="Courier New"/>
          <w:b w:val="false"/>
          <w:bCs w:val="false"/>
          <w:i w:val="false"/>
          <w:iCs w:val="false"/>
          <w:sz w:val="18"/>
          <w:szCs w:val="18"/>
        </w:rPr>
        <w:t xml:space="preserve">status="ALREADY_EXECUTED"</w:t>
      </w:r>
      <w:r>
        <w:rPr>
          <w:rFonts w:ascii="Times New Roman" w:cs="Times New Roman" w:eastAsia="Times New Roman" w:hAnsi="Times New Roman"/>
          <w:b w:val="false"/>
          <w:bCs w:val="false"/>
          <w:i w:val="false"/>
          <w:iCs w:val="false"/>
          <w:sz w:val="20"/>
          <w:szCs w:val="20"/>
        </w:rPr>
        <w:t xml:space="preserve">, preventing duplicate Kubernetes mutations.</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Response Action Failure Recovery:</w:t>
      </w:r>
      <w:r>
        <w:rPr>
          <w:rFonts w:ascii="Times New Roman" w:cs="Times New Roman" w:eastAsia="Times New Roman" w:hAnsi="Times New Roman"/>
          <w:b w:val="false"/>
          <w:bCs w:val="false"/>
          <w:i w:val="false"/>
          <w:iCs w:val="false"/>
          <w:sz w:val="20"/>
          <w:szCs w:val="20"/>
        </w:rPr>
        <w:t xml:space="preserve"> When the Kubernetes API returns HTTP 403 Forbidden or rotation webhooks return HTTP 500, event status is set to </w:t>
      </w:r>
      <w:r>
        <w:rPr>
          <w:rFonts w:ascii="Courier New" w:cs="Courier New" w:eastAsia="Courier New" w:hAnsi="Courier New"/>
          <w:b w:val="false"/>
          <w:bCs w:val="false"/>
          <w:i w:val="false"/>
          <w:iCs w:val="false"/>
          <w:sz w:val="18"/>
          <w:szCs w:val="18"/>
        </w:rPr>
        <w:t xml:space="preserve">FAILED_EXECUTION</w:t>
      </w:r>
      <w:r>
        <w:rPr>
          <w:rFonts w:ascii="Times New Roman" w:cs="Times New Roman" w:eastAsia="Times New Roman" w:hAnsi="Times New Roman"/>
          <w:b w:val="false"/>
          <w:bCs w:val="false"/>
          <w:i w:val="false"/>
          <w:iCs w:val="false"/>
          <w:sz w:val="20"/>
          <w:szCs w:val="20"/>
        </w:rPr>
        <w:t xml:space="preserve"> and diagnostic details are logged, preserving audit integrity without false success claims.</w:t>
      </w:r>
    </w:p>
    <w:p>
      <w:pPr>
        <w:pStyle w:val="Heading1"/>
        <w:pStyle w:val="Heading1"/>
      </w:pPr>
      <w:r>
        <w:rPr>
          <w:rFonts w:ascii="Times New Roman" w:cs="Times New Roman" w:eastAsia="Times New Roman" w:hAnsi="Times New Roman"/>
          <w:smallCaps/>
          <w:sz w:val="20"/>
          <w:szCs w:val="20"/>
        </w:rPr>
        <w:t xml:space="preserve">IX. </w:t>
      </w:r>
      <w:r>
        <w:rPr>
          <w:rFonts w:ascii="Times New Roman" w:cs="Times New Roman" w:eastAsia="Times New Roman" w:hAnsi="Times New Roman"/>
          <w:smallCaps/>
          <w:sz w:val="20"/>
          <w:szCs w:val="20"/>
        </w:rPr>
        <w:t xml:space="preserve">Discussion &amp; Future Work</w:t>
      </w:r>
    </w:p>
    <w:p>
      <w:pPr>
        <w:pStyle w:val="Body"/>
        <w:ind w:firstLine="0"/>
        <w:jc w:val="both"/>
      </w:pPr>
      <w:r>
        <w:rPr>
          <w:rFonts w:ascii="Times New Roman" w:cs="Times New Roman" w:eastAsia="Times New Roman" w:hAnsi="Times New Roman"/>
          <w:b w:val="false"/>
          <w:bCs w:val="false"/>
          <w:i w:val="false"/>
          <w:iCs w:val="false"/>
          <w:sz w:val="20"/>
          <w:szCs w:val="20"/>
        </w:rPr>
        <w:t xml:space="preserve">While LogShield provides automated protection, several research avenues remain open:</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Kernel-Space eBPF Probing:</w:t>
      </w:r>
      <w:r>
        <w:rPr>
          <w:rFonts w:ascii="Times New Roman" w:cs="Times New Roman" w:eastAsia="Times New Roman" w:hAnsi="Times New Roman"/>
          <w:b w:val="false"/>
          <w:bCs w:val="false"/>
          <w:i w:val="false"/>
          <w:iCs w:val="false"/>
          <w:sz w:val="20"/>
          <w:szCs w:val="20"/>
        </w:rPr>
        <w:t xml:space="preserve"> Running log interception directly inside the Linux kernel using extended Berkeley Packet Filters (eBPF) via sockops hooks could eliminate container context switching completely.</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Confidential Computing Enclaves:</w:t>
      </w:r>
      <w:r>
        <w:rPr>
          <w:rFonts w:ascii="Times New Roman" w:cs="Times New Roman" w:eastAsia="Times New Roman" w:hAnsi="Times New Roman"/>
          <w:b w:val="false"/>
          <w:bCs w:val="false"/>
          <w:i w:val="false"/>
          <w:iCs w:val="false"/>
          <w:sz w:val="20"/>
          <w:szCs w:val="20"/>
        </w:rPr>
        <w:t xml:space="preserve"> Binding SecureReveal Vault keys to hardware enclaves (such as Intel SGX or AMD SEV) would protect credentials even if the host worker node kernel is compromised.</w:t>
      </w:r>
    </w:p>
    <w:p>
      <w:pPr>
        <w:pStyle w:val="ListItem"/>
        <w:numPr>
          <w:ilvl w:val="0"/>
          <w:numId w:val="3"/>
        </w:numPr>
        <w:jc w:val="both"/>
      </w:pPr>
      <w:r>
        <w:rPr>
          <w:rFonts w:ascii="Times New Roman" w:cs="Times New Roman" w:eastAsia="Times New Roman" w:hAnsi="Times New Roman"/>
          <w:b w:val="false"/>
          <w:bCs w:val="false"/>
          <w:i/>
          <w:iCs/>
          <w:sz w:val="20"/>
          <w:szCs w:val="20"/>
        </w:rPr>
        <w:t xml:space="preserve">Post-Quantum Lineage Graphing:</w:t>
      </w:r>
      <w:r>
        <w:rPr>
          <w:rFonts w:ascii="Times New Roman" w:cs="Times New Roman" w:eastAsia="Times New Roman" w:hAnsi="Times New Roman"/>
          <w:b w:val="false"/>
          <w:bCs w:val="false"/>
          <w:i w:val="false"/>
          <w:iCs w:val="false"/>
          <w:sz w:val="20"/>
          <w:szCs w:val="20"/>
        </w:rPr>
        <w:t xml:space="preserve"> Incorporating lattice-based cryptographic primitives into the blind fingerprinting to guard against future quantum cryptanalysis.</w:t>
      </w:r>
    </w:p>
    <w:p>
      <w:pPr>
        <w:pStyle w:val="Heading1"/>
        <w:pStyle w:val="Heading1"/>
      </w:pPr>
      <w:r>
        <w:rPr>
          <w:rFonts w:ascii="Times New Roman" w:cs="Times New Roman" w:eastAsia="Times New Roman" w:hAnsi="Times New Roman"/>
          <w:smallCaps/>
          <w:sz w:val="20"/>
          <w:szCs w:val="20"/>
        </w:rPr>
        <w:t xml:space="preserve">X. </w:t>
      </w:r>
      <w:r>
        <w:rPr>
          <w:rFonts w:ascii="Times New Roman" w:cs="Times New Roman" w:eastAsia="Times New Roman" w:hAnsi="Times New Roman"/>
          <w:smallCaps/>
          <w:sz w:val="20"/>
          <w:szCs w:val="20"/>
        </w:rPr>
        <w:t xml:space="preserve">Conclusion</w:t>
      </w:r>
    </w:p>
    <w:p>
      <w:pPr>
        <w:pStyle w:val="Body"/>
        <w:ind w:firstLine="0"/>
        <w:jc w:val="both"/>
      </w:pPr>
      <w:r>
        <w:rPr>
          <w:rFonts w:ascii="Times New Roman" w:cs="Times New Roman" w:eastAsia="Times New Roman" w:hAnsi="Times New Roman"/>
          <w:b w:val="false"/>
          <w:bCs w:val="false"/>
          <w:i w:val="false"/>
          <w:iCs w:val="false"/>
          <w:sz w:val="20"/>
          <w:szCs w:val="20"/>
        </w:rPr>
        <w:t xml:space="preserve">Accidental credential exposure in application logs poses severe security and regulatory risks to cloud-native systems. In this work, we presented LogShield, an in-pod Kubernetes sidecar framework that transforms runtime log sanitization from a passive string filter into an active security control. By combining an </w:t>
      </w:r>
      <w:r>
        <w:rPr>
          <w:rFonts w:ascii="Times New Roman" w:cs="Times New Roman" w:eastAsia="Times New Roman" w:hAnsi="Times New Roman"/>
          <w:b w:val="false"/>
          <w:bCs w:val="false"/>
          <w:i/>
          <w:iCs/>
          <w:sz w:val="20"/>
          <w:szCs w:val="20"/>
        </w:rPr>
        <w:t xml:space="preserve">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Aho-Corasick prefilter, an adaptive sliding-window Token Fusion engine, a 6-factor Secret Confidence Score model, an ephemeral Fernet-authenticated vault, canonical transformation-aware blind lineage tracking, and autonomous Kubernetes network policy containment, LogShield reaches an F1-score of </w:t>
      </w:r>
      <w:r>
        <w:rPr>
          <w:rFonts w:ascii="Times New Roman" w:cs="Times New Roman" w:eastAsia="Times New Roman" w:hAnsi="Times New Roman"/>
          <w:b/>
          <w:bCs/>
          <w:i w:val="false"/>
          <w:iCs w:val="false"/>
          <w:sz w:val="20"/>
          <w:szCs w:val="20"/>
        </w:rPr>
        <w:t xml:space="preserve">0.9997</w:t>
      </w:r>
      <w:r>
        <w:rPr>
          <w:rFonts w:ascii="Times New Roman" w:cs="Times New Roman" w:eastAsia="Times New Roman" w:hAnsi="Times New Roman"/>
          <w:b w:val="false"/>
          <w:bCs w:val="false"/>
          <w:i w:val="false"/>
          <w:iCs w:val="false"/>
          <w:sz w:val="20"/>
          <w:szCs w:val="20"/>
        </w:rPr>
        <w:t xml:space="preserve"> on standard credentials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9,205), raises evasion recall from 32.20% to </w:t>
      </w:r>
      <w:r>
        <w:rPr>
          <w:rFonts w:ascii="Times New Roman" w:cs="Times New Roman" w:eastAsia="Times New Roman" w:hAnsi="Times New Roman"/>
          <w:b/>
          <w:bCs/>
          <w:i w:val="false"/>
          <w:iCs w:val="false"/>
          <w:sz w:val="20"/>
          <w:szCs w:val="20"/>
        </w:rPr>
        <w:t xml:space="preserve">91.30%</w:t>
      </w:r>
      <w:r>
        <w:rPr>
          <w:rFonts w:ascii="Times New Roman" w:cs="Times New Roman" w:eastAsia="Times New Roman" w:hAnsi="Times New Roman"/>
          <w:b w:val="false"/>
          <w:bCs w:val="false"/>
          <w:i w:val="false"/>
          <w:iCs w:val="false"/>
          <w:sz w:val="20"/>
          <w:szCs w:val="20"/>
        </w:rPr>
        <w:t xml:space="preserve"> on a 2,400-sample adversarial corpus, and performs closed-loop pod egress quarantine policy dispatch in </w:t>
      </w:r>
      <w:r>
        <w:rPr>
          <w:rFonts w:ascii="Times New Roman" w:cs="Times New Roman" w:eastAsia="Times New Roman" w:hAnsi="Times New Roman"/>
          <w:b/>
          <w:bCs/>
          <w:i w:val="false"/>
          <w:iCs w:val="false"/>
          <w:sz w:val="20"/>
          <w:szCs w:val="20"/>
        </w:rPr>
        <w:t xml:space="preserve">16.7–26.7 ms</w:t>
      </w:r>
      <w:r>
        <w:rPr>
          <w:rFonts w:ascii="Times New Roman" w:cs="Times New Roman" w:eastAsia="Times New Roman" w:hAnsi="Times New Roman"/>
          <w:b w:val="false"/>
          <w:bCs w:val="false"/>
          <w:i w:val="false"/>
          <w:iCs w:val="false"/>
          <w:sz w:val="20"/>
          <w:szCs w:val="20"/>
        </w:rPr>
        <w:t xml:space="preserve"> with verified zero impact on innocent workloads in the test cluster. These findings establish that active, real-time credential protection can be embedded directly into microservices without degrading telemetry throughput or developer velocity.</w:t>
      </w:r>
    </w:p>
    <w:p>
      <w:pPr>
        <w:pStyle w:val="Heading1"/>
        <w:pStyle w:val="Heading1"/>
      </w:pPr>
      <w:r>
        <w:rPr>
          <w:rFonts w:ascii="Times New Roman" w:cs="Times New Roman" w:eastAsia="Times New Roman" w:hAnsi="Times New Roman"/>
          <w:smallCaps/>
          <w:sz w:val="20"/>
          <w:szCs w:val="20"/>
        </w:rPr>
        <w:t xml:space="preserve">Acknowledgment</w:t>
      </w:r>
    </w:p>
    <w:p>
      <w:pPr>
        <w:pStyle w:val="Body"/>
        <w:ind w:firstLine="0"/>
        <w:jc w:val="both"/>
      </w:pPr>
      <w:r>
        <w:rPr>
          <w:rFonts w:ascii="Times New Roman" w:cs="Times New Roman" w:eastAsia="Times New Roman" w:hAnsi="Times New Roman"/>
          <w:b w:val="false"/>
          <w:bCs w:val="false"/>
          <w:i w:val="false"/>
          <w:iCs w:val="false"/>
          <w:sz w:val="20"/>
          <w:szCs w:val="20"/>
        </w:rPr>
        <w:t xml:space="preserve">The authors thank the maintainers of SecretBench, TruffleHog, and Gitleaks, as well as the faculty advisors at the Department of Computer Engineering, for their constructive feedback throughout this study.</w:t>
      </w:r>
    </w:p>
    <w:p>
      <w:pPr>
        <w:pStyle w:val="Heading1"/>
        <w:pStyle w:val="Heading1"/>
      </w:pPr>
      <w:r>
        <w:rPr>
          <w:rFonts w:ascii="Times New Roman" w:cs="Times New Roman" w:eastAsia="Times New Roman" w:hAnsi="Times New Roman"/>
          <w:smallCaps/>
          <w:sz w:val="20"/>
          <w:szCs w:val="20"/>
        </w:rPr>
        <w:t xml:space="preserve">References</w:t>
      </w:r>
    </w:p>
    <w:p>
      <w:pPr>
        <w:pStyle w:val="Ref"/>
        <w:tabs>
          <w:tab w:val="left" w:pos="400"/>
        </w:tabs>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Kubernetes Authors, “Pods and sidecar containers,” </w:t>
      </w:r>
      <w:r>
        <w:rPr>
          <w:rFonts w:ascii="Times New Roman" w:cs="Times New Roman" w:eastAsia="Times New Roman" w:hAnsi="Times New Roman"/>
          <w:b w:val="false"/>
          <w:bCs w:val="false"/>
          <w:i/>
          <w:iCs/>
          <w:sz w:val="16"/>
          <w:szCs w:val="16"/>
        </w:rPr>
        <w:t xml:space="preserve">Kubernetes Documentation</w:t>
      </w:r>
      <w:r>
        <w:rPr>
          <w:rFonts w:ascii="Times New Roman" w:cs="Times New Roman" w:eastAsia="Times New Roman" w:hAnsi="Times New Roman"/>
          <w:b w:val="false"/>
          <w:bCs w:val="false"/>
          <w:i w:val="false"/>
          <w:iCs w:val="false"/>
          <w:sz w:val="16"/>
          <w:szCs w:val="16"/>
        </w:rPr>
        <w:t xml:space="preserve">, 2024. [Online]. Available: https://kubernetes.io/docs/concepts/workloads/pods/</w:t>
      </w:r>
    </w:p>
    <w:p>
      <w:pPr>
        <w:pStyle w:val="Ref"/>
        <w:tabs>
          <w:tab w:val="left" w:pos="400"/>
        </w:tabs>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val="false"/>
          <w:iCs w:val="false"/>
          <w:sz w:val="16"/>
          <w:szCs w:val="16"/>
        </w:rPr>
        <w:t xml:space="preserve">T. Barik, R. DeLine, S. Drucker, and D. Fisher, “The bones of the system: A case study of logging and telemetry at Microsoft,” in </w:t>
      </w:r>
      <w:r>
        <w:rPr>
          <w:rFonts w:ascii="Times New Roman" w:cs="Times New Roman" w:eastAsia="Times New Roman" w:hAnsi="Times New Roman"/>
          <w:b w:val="false"/>
          <w:bCs w:val="false"/>
          <w:i/>
          <w:iCs/>
          <w:sz w:val="16"/>
          <w:szCs w:val="16"/>
        </w:rPr>
        <w:t xml:space="preserve">Proc. 38th Int. Conf. Softw. Eng. Companion (ICSE-C)</w:t>
      </w:r>
      <w:r>
        <w:rPr>
          <w:rFonts w:ascii="Times New Roman" w:cs="Times New Roman" w:eastAsia="Times New Roman" w:hAnsi="Times New Roman"/>
          <w:b w:val="false"/>
          <w:bCs w:val="false"/>
          <w:i w:val="false"/>
          <w:iCs w:val="false"/>
          <w:sz w:val="16"/>
          <w:szCs w:val="16"/>
        </w:rPr>
        <w:t xml:space="preserve">, 2016, pp. 92–101.</w:t>
      </w:r>
    </w:p>
    <w:p>
      <w:pPr>
        <w:pStyle w:val="Ref"/>
        <w:tabs>
          <w:tab w:val="left" w:pos="400"/>
        </w:tabs>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R. Aghili, H. Li, and F. Khomh, “Protecting privacy in software logs: What should be anonymized?,” </w:t>
      </w:r>
      <w:r>
        <w:rPr>
          <w:rFonts w:ascii="Times New Roman" w:cs="Times New Roman" w:eastAsia="Times New Roman" w:hAnsi="Times New Roman"/>
          <w:b w:val="false"/>
          <w:bCs w:val="false"/>
          <w:i/>
          <w:iCs/>
          <w:sz w:val="16"/>
          <w:szCs w:val="16"/>
        </w:rPr>
        <w:t xml:space="preserve">Proc. ACM Softw. Eng.</w:t>
      </w:r>
      <w:r>
        <w:rPr>
          <w:rFonts w:ascii="Times New Roman" w:cs="Times New Roman" w:eastAsia="Times New Roman" w:hAnsi="Times New Roman"/>
          <w:b w:val="false"/>
          <w:bCs w:val="false"/>
          <w:i w:val="false"/>
          <w:iCs w:val="false"/>
          <w:sz w:val="16"/>
          <w:szCs w:val="16"/>
        </w:rPr>
        <w:t xml:space="preserve">, vol. 2, no. ISSTA, pp. 1317–1338, 2025.</w:t>
      </w:r>
    </w:p>
    <w:p>
      <w:pPr>
        <w:pStyle w:val="Ref"/>
        <w:tabs>
          <w:tab w:val="left" w:pos="400"/>
        </w:tabs>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Datadog Inc., “Observability pipeline sizing and architecture guidelines,” Datadog Technical Documentation, 2024. [Online]. Available: https://docs.datadoghq.com/observability_pipelines/</w:t>
      </w:r>
    </w:p>
    <w:p>
      <w:pPr>
        <w:pStyle w:val="Ref"/>
        <w:tabs>
          <w:tab w:val="left" w:pos="400"/>
        </w:tabs>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C. Zhi, J. Yin, J. Han, and S. Deng, “A preliminary study on sensitive information exposure through logging,” in </w:t>
      </w:r>
      <w:r>
        <w:rPr>
          <w:rFonts w:ascii="Times New Roman" w:cs="Times New Roman" w:eastAsia="Times New Roman" w:hAnsi="Times New Roman"/>
          <w:b w:val="false"/>
          <w:bCs w:val="false"/>
          <w:i/>
          <w:iCs/>
          <w:sz w:val="16"/>
          <w:szCs w:val="16"/>
        </w:rPr>
        <w:t xml:space="preserve">Proc. 27th Asia-Pacific Softw. Eng. Conf. (APSEC)</w:t>
      </w:r>
      <w:r>
        <w:rPr>
          <w:rFonts w:ascii="Times New Roman" w:cs="Times New Roman" w:eastAsia="Times New Roman" w:hAnsi="Times New Roman"/>
          <w:b w:val="false"/>
          <w:bCs w:val="false"/>
          <w:i w:val="false"/>
          <w:iCs w:val="false"/>
          <w:sz w:val="16"/>
          <w:szCs w:val="16"/>
        </w:rPr>
        <w:t xml:space="preserve">, 2020, pp. 470–474.</w:t>
      </w:r>
    </w:p>
    <w:p>
      <w:pPr>
        <w:pStyle w:val="Ref"/>
        <w:tabs>
          <w:tab w:val="left" w:pos="400"/>
        </w:tabs>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Z. Wahab, S. Ahmed, M. N. Rahman, R. Shahriyar, and G. Uddin, “Secret leak detection in software issue reports using LLMs: A comprehensive evaluation,” in </w:t>
      </w:r>
      <w:r>
        <w:rPr>
          <w:rFonts w:ascii="Times New Roman" w:cs="Times New Roman" w:eastAsia="Times New Roman" w:hAnsi="Times New Roman"/>
          <w:b w:val="false"/>
          <w:bCs w:val="false"/>
          <w:i/>
          <w:iCs/>
          <w:sz w:val="16"/>
          <w:szCs w:val="16"/>
        </w:rPr>
        <w:t xml:space="preserve">Proc. IEEE/ACM Int. Conf. Mining Softw. Repositories (MSR)</w:t>
      </w:r>
      <w:r>
        <w:rPr>
          <w:rFonts w:ascii="Times New Roman" w:cs="Times New Roman" w:eastAsia="Times New Roman" w:hAnsi="Times New Roman"/>
          <w:b w:val="false"/>
          <w:bCs w:val="false"/>
          <w:i w:val="false"/>
          <w:iCs w:val="false"/>
          <w:sz w:val="16"/>
          <w:szCs w:val="16"/>
        </w:rPr>
        <w:t xml:space="preserve">, 2025; also arXiv:2410.23657, 2024.</w:t>
      </w:r>
    </w:p>
    <w:p>
      <w:pPr>
        <w:pStyle w:val="Ref"/>
        <w:tabs>
          <w:tab w:val="left" w:pos="400"/>
        </w:tabs>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A. O. Portillo-Dominguez and V. Ayala-Rivera, “Towards an efficient log data protection in software systems through data minimization and anonymization,” in </w:t>
      </w:r>
      <w:r>
        <w:rPr>
          <w:rFonts w:ascii="Times New Roman" w:cs="Times New Roman" w:eastAsia="Times New Roman" w:hAnsi="Times New Roman"/>
          <w:b w:val="false"/>
          <w:bCs w:val="false"/>
          <w:i/>
          <w:iCs/>
          <w:sz w:val="16"/>
          <w:szCs w:val="16"/>
        </w:rPr>
        <w:t xml:space="preserve">Proc. 7th Int. Conf. Softw. Eng. Res. Innov. (CONISOFT)</w:t>
      </w:r>
      <w:r>
        <w:rPr>
          <w:rFonts w:ascii="Times New Roman" w:cs="Times New Roman" w:eastAsia="Times New Roman" w:hAnsi="Times New Roman"/>
          <w:b w:val="false"/>
          <w:bCs w:val="false"/>
          <w:i w:val="false"/>
          <w:iCs w:val="false"/>
          <w:sz w:val="16"/>
          <w:szCs w:val="16"/>
        </w:rPr>
        <w:t xml:space="preserve">, 2019, pp. 107–115.</w:t>
      </w:r>
    </w:p>
    <w:p>
      <w:pPr>
        <w:pStyle w:val="Ref"/>
        <w:tabs>
          <w:tab w:val="left" w:pos="400"/>
        </w:tabs>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M. Khoje, “Securing data platforms: Strategic masking techniques for privacy and security for B2B enterprise data,” </w:t>
      </w:r>
      <w:r>
        <w:rPr>
          <w:rFonts w:ascii="Times New Roman" w:cs="Times New Roman" w:eastAsia="Times New Roman" w:hAnsi="Times New Roman"/>
          <w:b w:val="false"/>
          <w:bCs w:val="false"/>
          <w:i/>
          <w:iCs/>
          <w:sz w:val="16"/>
          <w:szCs w:val="16"/>
        </w:rPr>
        <w:t xml:space="preserve">Int. J. Comput. Trends Technol. (IJCTT)</w:t>
      </w:r>
      <w:r>
        <w:rPr>
          <w:rFonts w:ascii="Times New Roman" w:cs="Times New Roman" w:eastAsia="Times New Roman" w:hAnsi="Times New Roman"/>
          <w:b w:val="false"/>
          <w:bCs w:val="false"/>
          <w:i w:val="false"/>
          <w:iCs w:val="false"/>
          <w:sz w:val="16"/>
          <w:szCs w:val="16"/>
        </w:rPr>
        <w:t xml:space="preserve">, vol. 71, no. 11, pp. 46–54, Nov. 2023.</w:t>
      </w:r>
    </w:p>
    <w:p>
      <w:pPr>
        <w:pStyle w:val="Ref"/>
        <w:tabs>
          <w:tab w:val="left" w:pos="400"/>
        </w:tabs>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MITRE Corporation, “CWE-532: Insertion of sensitive information into log file,” Common Weakness Enumeration, 2022. [Online]. Available: https://cwe.mitre.org/data/definitions/532.html</w:t>
      </w:r>
    </w:p>
    <w:p>
      <w:pPr>
        <w:pStyle w:val="Ref"/>
        <w:tabs>
          <w:tab w:val="left" w:pos="400"/>
        </w:tabs>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MITRE Corporation, “CWE-798: Use of hard-coded credentials,” Common Weakness Enumeration. [Online]. Available: https://cwe.mitre.org/data/definitions/798.html</w:t>
      </w:r>
    </w:p>
    <w:p>
      <w:pPr>
        <w:pStyle w:val="Ref"/>
        <w:tabs>
          <w:tab w:val="left" w:pos="400"/>
        </w:tabs>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GitGuardian, “The state of secrets sprawl 2023,” GitGuardian, Mar. 2023. [Online]. Available: https://blog.gitguardian.com/the-state-of-secrets-sprawl-2023</w:t>
      </w:r>
    </w:p>
    <w:p>
      <w:pPr>
        <w:pStyle w:val="Ref"/>
        <w:tabs>
          <w:tab w:val="left" w:pos="400"/>
        </w:tabs>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Z. Rice, “Gitleaks: Protect and discover secrets in code,” GitHub repository, 2024. [Online]. Available: https://github.com/gitleaks/gitleaks</w:t>
      </w:r>
    </w:p>
    <w:p>
      <w:pPr>
        <w:pStyle w:val="Ref"/>
        <w:tabs>
          <w:tab w:val="left" w:pos="400"/>
        </w:tabs>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D. Ayrey, “TruffleHog: High entropy secret finder,” GitHub repository, 2024. [Online]. Available: https://github.com/trufflesecurity/trufflehog</w:t>
      </w:r>
    </w:p>
    <w:p>
      <w:pPr>
        <w:pStyle w:val="Ref"/>
        <w:tabs>
          <w:tab w:val="left" w:pos="400"/>
        </w:tabs>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Yelp Inc., “detect-secrets: An enterprise-friendly secrets detection module,” GitHub repository, 2024. [Online]. Available: https://github.com/Yelp/detect-secrets</w:t>
      </w:r>
    </w:p>
    <w:p>
      <w:pPr>
        <w:pStyle w:val="Ref"/>
        <w:tabs>
          <w:tab w:val="left" w:pos="400"/>
        </w:tabs>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European Parliament and Council of the European Union, “Regulation (EU) 2016/679 on the protection of natural persons with regard to the processing of personal data (General Data Protection Regulation),” </w:t>
      </w:r>
      <w:r>
        <w:rPr>
          <w:rFonts w:ascii="Times New Roman" w:cs="Times New Roman" w:eastAsia="Times New Roman" w:hAnsi="Times New Roman"/>
          <w:b w:val="false"/>
          <w:bCs w:val="false"/>
          <w:i/>
          <w:iCs/>
          <w:sz w:val="16"/>
          <w:szCs w:val="16"/>
        </w:rPr>
        <w:t xml:space="preserve">Official J. Eur. Union</w:t>
      </w:r>
      <w:r>
        <w:rPr>
          <w:rFonts w:ascii="Times New Roman" w:cs="Times New Roman" w:eastAsia="Times New Roman" w:hAnsi="Times New Roman"/>
          <w:b w:val="false"/>
          <w:bCs w:val="false"/>
          <w:i w:val="false"/>
          <w:iCs w:val="false"/>
          <w:sz w:val="16"/>
          <w:szCs w:val="16"/>
        </w:rPr>
        <w:t xml:space="preserve">, vol. L119, pp. 1–88, May 2016.</w:t>
      </w:r>
    </w:p>
    <w:p>
      <w:pPr>
        <w:pStyle w:val="Ref"/>
        <w:tabs>
          <w:tab w:val="left" w:pos="400"/>
        </w:tabs>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U.S. Congress, “Health Insurance Portability and Accountability Act of 1996,” Pub. L. No. 104-191, 110 Stat. 1936, Aug. 1996.</w:t>
      </w:r>
    </w:p>
    <w:p>
      <w:pPr>
        <w:pStyle w:val="Ref"/>
        <w:tabs>
          <w:tab w:val="left" w:pos="400"/>
        </w:tabs>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PCI Security Standards Council, “Payment Card Industry (PCI) Data Security Standard: Requirements and testing procedures, version 4.0,” PCI SSC, Mar. 2022.</w:t>
      </w:r>
    </w:p>
    <w:p>
      <w:pPr>
        <w:pStyle w:val="Ref"/>
        <w:tabs>
          <w:tab w:val="left" w:pos="400"/>
        </w:tabs>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Joint Task Force, “Security and privacy controls for information systems and organizations,” Nat. Inst. Standards Technol., Gaithersburg, MD, USA, NIST Special Publication 800-53, Rev. 5, Sep. 2020.</w:t>
      </w:r>
    </w:p>
    <w:p>
      <w:pPr>
        <w:pStyle w:val="Ref"/>
        <w:tabs>
          <w:tab w:val="left" w:pos="400"/>
        </w:tabs>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A. Saha, T. Denning, V. Srikumar, and S. K. Kasera, “Secrets in source code: Reducing false positives using machine learning,” in </w:t>
      </w:r>
      <w:r>
        <w:rPr>
          <w:rFonts w:ascii="Times New Roman" w:cs="Times New Roman" w:eastAsia="Times New Roman" w:hAnsi="Times New Roman"/>
          <w:b w:val="false"/>
          <w:bCs w:val="false"/>
          <w:i/>
          <w:iCs/>
          <w:sz w:val="16"/>
          <w:szCs w:val="16"/>
        </w:rPr>
        <w:t xml:space="preserve">Proc. 12th Int. Conf. Commun. Syst. Netw. (COMSNETS)</w:t>
      </w:r>
      <w:r>
        <w:rPr>
          <w:rFonts w:ascii="Times New Roman" w:cs="Times New Roman" w:eastAsia="Times New Roman" w:hAnsi="Times New Roman"/>
          <w:b w:val="false"/>
          <w:bCs w:val="false"/>
          <w:i w:val="false"/>
          <w:iCs w:val="false"/>
          <w:sz w:val="16"/>
          <w:szCs w:val="16"/>
        </w:rPr>
        <w:t xml:space="preserve">, Bengaluru, India, 2020, pp. 168–175.</w:t>
      </w:r>
    </w:p>
    <w:p>
      <w:pPr>
        <w:pStyle w:val="Ref"/>
        <w:tabs>
          <w:tab w:val="left" w:pos="400"/>
        </w:tabs>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S. K. Basak, L. Neil, B. Reaves, and L. Williams, “SecretBench: A dataset of software secrets,” in </w:t>
      </w:r>
      <w:r>
        <w:rPr>
          <w:rFonts w:ascii="Times New Roman" w:cs="Times New Roman" w:eastAsia="Times New Roman" w:hAnsi="Times New Roman"/>
          <w:b w:val="false"/>
          <w:bCs w:val="false"/>
          <w:i/>
          <w:iCs/>
          <w:sz w:val="16"/>
          <w:szCs w:val="16"/>
        </w:rPr>
        <w:t xml:space="preserve">Proc. IEEE/ACM 20th Int. Conf. Mining Softw. Repositories (MSR)</w:t>
      </w:r>
      <w:r>
        <w:rPr>
          <w:rFonts w:ascii="Times New Roman" w:cs="Times New Roman" w:eastAsia="Times New Roman" w:hAnsi="Times New Roman"/>
          <w:b w:val="false"/>
          <w:bCs w:val="false"/>
          <w:i w:val="false"/>
          <w:iCs w:val="false"/>
          <w:sz w:val="16"/>
          <w:szCs w:val="16"/>
        </w:rPr>
        <w:t xml:space="preserve">, 2023, pp. 347–351.</w:t>
      </w:r>
    </w:p>
    <w:p>
      <w:pPr>
        <w:pStyle w:val="Ref"/>
        <w:tabs>
          <w:tab w:val="left" w:pos="400"/>
        </w:tabs>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val="false"/>
          <w:iCs w:val="false"/>
          <w:sz w:val="16"/>
          <w:szCs w:val="16"/>
        </w:rPr>
        <w:t xml:space="preserve">“Fernet specification,” GitHub repository. [Online]. Available: https://github.com/fernet/spec</w:t>
      </w:r>
    </w:p>
    <w:p>
      <w:pPr>
        <w:pStyle w:val="Ref"/>
        <w:tabs>
          <w:tab w:val="left" w:pos="400"/>
        </w:tabs>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Nat. Inst. Standards Technol., “Advanced Encryption Standard (AES),” Federal Information Processing Standards Publication 197, Nov. 2001.</w:t>
      </w:r>
    </w:p>
    <w:p>
      <w:pPr>
        <w:pStyle w:val="Ref"/>
        <w:tabs>
          <w:tab w:val="left" w:pos="400"/>
        </w:tabs>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H. Krawczyk, M. Bellare, and R. Canetti, “HMAC: Keyed-hashing for message authentication,” Internet Eng. Task Force, RFC 2104, Feb. 1997.</w:t>
      </w:r>
    </w:p>
    <w:p>
      <w:pPr>
        <w:pStyle w:val="Ref"/>
        <w:tabs>
          <w:tab w:val="left" w:pos="400"/>
        </w:tabs>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z w:val="16"/>
          <w:szCs w:val="16"/>
        </w:rPr>
        <w:t xml:space="preserve">Nat. Inst. Standards Technol., “Secure Hash Standard (SHS),” Federal Information Processing Standards Publication 180-4, Aug. 2015.</w:t>
      </w:r>
    </w:p>
    <w:p>
      <w:pPr>
        <w:pStyle w:val="Ref"/>
        <w:tabs>
          <w:tab w:val="left" w:pos="400"/>
        </w:tabs>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Kubernetes Authors, “Network policies,” </w:t>
      </w:r>
      <w:r>
        <w:rPr>
          <w:rFonts w:ascii="Times New Roman" w:cs="Times New Roman" w:eastAsia="Times New Roman" w:hAnsi="Times New Roman"/>
          <w:b w:val="false"/>
          <w:bCs w:val="false"/>
          <w:i/>
          <w:iCs/>
          <w:sz w:val="16"/>
          <w:szCs w:val="16"/>
        </w:rPr>
        <w:t xml:space="preserve">Kubernetes Documentation</w:t>
      </w:r>
      <w:r>
        <w:rPr>
          <w:rFonts w:ascii="Times New Roman" w:cs="Times New Roman" w:eastAsia="Times New Roman" w:hAnsi="Times New Roman"/>
          <w:b w:val="false"/>
          <w:bCs w:val="false"/>
          <w:i w:val="false"/>
          <w:iCs w:val="false"/>
          <w:sz w:val="16"/>
          <w:szCs w:val="16"/>
        </w:rPr>
        <w:t xml:space="preserve">. [Online]. Available: https://kubernetes.io/docs/concepts/services-networking/network-policies/</w:t>
      </w:r>
    </w:p>
    <w:p>
      <w:pPr>
        <w:pStyle w:val="Ref"/>
        <w:tabs>
          <w:tab w:val="left" w:pos="400"/>
        </w:tabs>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J. Zhu, S. He, P. He, J. Liu, and M. R. Lyu, “Loghub: A large collection of system log datasets for AI-driven log analytics,” in </w:t>
      </w:r>
      <w:r>
        <w:rPr>
          <w:rFonts w:ascii="Times New Roman" w:cs="Times New Roman" w:eastAsia="Times New Roman" w:hAnsi="Times New Roman"/>
          <w:b w:val="false"/>
          <w:bCs w:val="false"/>
          <w:i/>
          <w:iCs/>
          <w:sz w:val="16"/>
          <w:szCs w:val="16"/>
        </w:rPr>
        <w:t xml:space="preserve">Proc. 34th IEEE Int. Symp. Softw. Rel. Eng. (ISSRE)</w:t>
      </w:r>
      <w:r>
        <w:rPr>
          <w:rFonts w:ascii="Times New Roman" w:cs="Times New Roman" w:eastAsia="Times New Roman" w:hAnsi="Times New Roman"/>
          <w:b w:val="false"/>
          <w:bCs w:val="false"/>
          <w:i w:val="false"/>
          <w:iCs w:val="false"/>
          <w:sz w:val="16"/>
          <w:szCs w:val="16"/>
        </w:rPr>
        <w:t xml:space="preserve">, 2023, pp. 355–366.</w:t>
      </w:r>
    </w:p>
    <w:p>
      <w:pPr>
        <w:pStyle w:val="Ref"/>
        <w:tabs>
          <w:tab w:val="left" w:pos="400"/>
        </w:tabs>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A. J. Slagell and W. Yurcik, “Sharing computer network logs for security and privacy: A motivation for new methodologies of anonymization,” arXiv:cs/0409005, 2004.</w:t>
      </w:r>
    </w:p>
    <w:p>
      <w:pPr>
        <w:pStyle w:val="Ref"/>
        <w:tabs>
          <w:tab w:val="left" w:pos="400"/>
        </w:tabs>
      </w:pPr>
      <w:r>
        <w:rPr>
          <w:rFonts w:ascii="Times New Roman" w:cs="Times New Roman" w:eastAsia="Times New Roman" w:hAnsi="Times New Roman"/>
          <w:sz w:val="16"/>
          <w:szCs w:val="16"/>
        </w:rPr>
        <w:t xml:space="preserve">[28]	</w:t>
      </w:r>
      <w:r>
        <w:rPr>
          <w:rFonts w:ascii="Times New Roman" w:cs="Times New Roman" w:eastAsia="Times New Roman" w:hAnsi="Times New Roman"/>
          <w:b w:val="false"/>
          <w:bCs w:val="false"/>
          <w:i w:val="false"/>
          <w:iCs w:val="false"/>
          <w:sz w:val="16"/>
          <w:szCs w:val="16"/>
        </w:rPr>
        <w:t xml:space="preserve">A. J. Slagell, K. Lakkaraju, and K. Luo, “FLAIM: A multi-level anonymization framework for computer and network logs,” in </w:t>
      </w:r>
      <w:r>
        <w:rPr>
          <w:rFonts w:ascii="Times New Roman" w:cs="Times New Roman" w:eastAsia="Times New Roman" w:hAnsi="Times New Roman"/>
          <w:b w:val="false"/>
          <w:bCs w:val="false"/>
          <w:i/>
          <w:iCs/>
          <w:sz w:val="16"/>
          <w:szCs w:val="16"/>
        </w:rPr>
        <w:t xml:space="preserve">Proc. 20th USENIX Large Installation Syst. Admin. Conf. (LISA)</w:t>
      </w:r>
      <w:r>
        <w:rPr>
          <w:rFonts w:ascii="Times New Roman" w:cs="Times New Roman" w:eastAsia="Times New Roman" w:hAnsi="Times New Roman"/>
          <w:b w:val="false"/>
          <w:bCs w:val="false"/>
          <w:i w:val="false"/>
          <w:iCs w:val="false"/>
          <w:sz w:val="16"/>
          <w:szCs w:val="16"/>
        </w:rPr>
        <w:t xml:space="preserve">, 2006, pp. 3–8.</w:t>
      </w:r>
    </w:p>
    <w:p>
      <w:pPr>
        <w:pStyle w:val="Ref"/>
        <w:tabs>
          <w:tab w:val="left" w:pos="400"/>
        </w:tabs>
      </w:pPr>
      <w:r>
        <w:rPr>
          <w:rFonts w:ascii="Times New Roman" w:cs="Times New Roman" w:eastAsia="Times New Roman" w:hAnsi="Times New Roman"/>
          <w:sz w:val="16"/>
          <w:szCs w:val="16"/>
        </w:rPr>
        <w:t xml:space="preserve">[29]	</w:t>
      </w:r>
      <w:r>
        <w:rPr>
          <w:rFonts w:ascii="Times New Roman" w:cs="Times New Roman" w:eastAsia="Times New Roman" w:hAnsi="Times New Roman"/>
          <w:b w:val="false"/>
          <w:bCs w:val="false"/>
          <w:i w:val="false"/>
          <w:iCs w:val="false"/>
          <w:sz w:val="16"/>
          <w:szCs w:val="16"/>
        </w:rPr>
        <w:t xml:space="preserve">M. Meli, M. R. McNiece, and B. Reaves, “How bad can it git? Characterizing secret leakage in public GitHub repositories,” in </w:t>
      </w:r>
      <w:r>
        <w:rPr>
          <w:rFonts w:ascii="Times New Roman" w:cs="Times New Roman" w:eastAsia="Times New Roman" w:hAnsi="Times New Roman"/>
          <w:b w:val="false"/>
          <w:bCs w:val="false"/>
          <w:i/>
          <w:iCs/>
          <w:sz w:val="16"/>
          <w:szCs w:val="16"/>
        </w:rPr>
        <w:t xml:space="preserve">Proc. Netw. Distrib. Syst. Security Symp. (NDSS)</w:t>
      </w:r>
      <w:r>
        <w:rPr>
          <w:rFonts w:ascii="Times New Roman" w:cs="Times New Roman" w:eastAsia="Times New Roman" w:hAnsi="Times New Roman"/>
          <w:b w:val="false"/>
          <w:bCs w:val="false"/>
          <w:i w:val="false"/>
          <w:iCs w:val="false"/>
          <w:sz w:val="16"/>
          <w:szCs w:val="16"/>
        </w:rPr>
        <w:t xml:space="preserve">, 2019, pp. 1–15.</w:t>
      </w:r>
    </w:p>
    <w:p>
      <w:pPr>
        <w:pStyle w:val="Ref"/>
        <w:tabs>
          <w:tab w:val="left" w:pos="400"/>
        </w:tabs>
      </w:pPr>
      <w:r>
        <w:rPr>
          <w:rFonts w:ascii="Times New Roman" w:cs="Times New Roman" w:eastAsia="Times New Roman" w:hAnsi="Times New Roman"/>
          <w:sz w:val="16"/>
          <w:szCs w:val="16"/>
        </w:rPr>
        <w:t xml:space="preserve">[30]	</w:t>
      </w:r>
      <w:r>
        <w:rPr>
          <w:rFonts w:ascii="Times New Roman" w:cs="Times New Roman" w:eastAsia="Times New Roman" w:hAnsi="Times New Roman"/>
          <w:b w:val="false"/>
          <w:bCs w:val="false"/>
          <w:i w:val="false"/>
          <w:iCs w:val="false"/>
          <w:sz w:val="16"/>
          <w:szCs w:val="16"/>
        </w:rPr>
        <w:t xml:space="preserve">M. N. Rahman, S. Ahmed, Z. Wahab, S. M. Sohan, and R. Shahriyar, “Secret breach detection in source code with large language models,” in </w:t>
      </w:r>
      <w:r>
        <w:rPr>
          <w:rFonts w:ascii="Times New Roman" w:cs="Times New Roman" w:eastAsia="Times New Roman" w:hAnsi="Times New Roman"/>
          <w:b w:val="false"/>
          <w:bCs w:val="false"/>
          <w:i/>
          <w:iCs/>
          <w:sz w:val="16"/>
          <w:szCs w:val="16"/>
        </w:rPr>
        <w:t xml:space="preserve">Proc. 19th ACM/IEEE Int. Symp. Empirical Softw. Eng. Meas. (ESEM)</w:t>
      </w:r>
      <w:r>
        <w:rPr>
          <w:rFonts w:ascii="Times New Roman" w:cs="Times New Roman" w:eastAsia="Times New Roman" w:hAnsi="Times New Roman"/>
          <w:b w:val="false"/>
          <w:bCs w:val="false"/>
          <w:i w:val="false"/>
          <w:iCs w:val="false"/>
          <w:sz w:val="16"/>
          <w:szCs w:val="16"/>
        </w:rPr>
        <w:t xml:space="preserve">, 2025; also arXiv:2504.18784, 2025.</w:t>
      </w:r>
    </w:p>
    <w:p>
      <w:pPr>
        <w:pStyle w:val="Ref"/>
        <w:tabs>
          <w:tab w:val="left" w:pos="400"/>
        </w:tabs>
      </w:pPr>
      <w:r>
        <w:rPr>
          <w:rFonts w:ascii="Times New Roman" w:cs="Times New Roman" w:eastAsia="Times New Roman" w:hAnsi="Times New Roman"/>
          <w:sz w:val="16"/>
          <w:szCs w:val="16"/>
        </w:rPr>
        <w:t xml:space="preserve">[31]	</w:t>
      </w:r>
      <w:r>
        <w:rPr>
          <w:rFonts w:ascii="Times New Roman" w:cs="Times New Roman" w:eastAsia="Times New Roman" w:hAnsi="Times New Roman"/>
          <w:b w:val="false"/>
          <w:bCs w:val="false"/>
          <w:i w:val="false"/>
          <w:iCs w:val="false"/>
          <w:sz w:val="16"/>
          <w:szCs w:val="16"/>
        </w:rPr>
        <w:t xml:space="preserve">Y. Huang, Y. Li, W. Wu, J. Zhang, and M. R. Lyu, “Your code secret belongs to me: Neural code completion tools can memorize hard-coded credentials,” </w:t>
      </w:r>
      <w:r>
        <w:rPr>
          <w:rFonts w:ascii="Times New Roman" w:cs="Times New Roman" w:eastAsia="Times New Roman" w:hAnsi="Times New Roman"/>
          <w:b w:val="false"/>
          <w:bCs w:val="false"/>
          <w:i/>
          <w:iCs/>
          <w:sz w:val="16"/>
          <w:szCs w:val="16"/>
        </w:rPr>
        <w:t xml:space="preserve">Proc. ACM Softw. Eng.</w:t>
      </w:r>
      <w:r>
        <w:rPr>
          <w:rFonts w:ascii="Times New Roman" w:cs="Times New Roman" w:eastAsia="Times New Roman" w:hAnsi="Times New Roman"/>
          <w:b w:val="false"/>
          <w:bCs w:val="false"/>
          <w:i w:val="false"/>
          <w:iCs w:val="false"/>
          <w:sz w:val="16"/>
          <w:szCs w:val="16"/>
        </w:rPr>
        <w:t xml:space="preserve">, vol. 1, no. FSE, Art. 111, pp. 1–23, Jul. 2024.</w:t>
      </w:r>
    </w:p>
    <w:p>
      <w:pPr>
        <w:pStyle w:val="Ref"/>
        <w:tabs>
          <w:tab w:val="left" w:pos="400"/>
        </w:tabs>
      </w:pPr>
      <w:r>
        <w:rPr>
          <w:rFonts w:ascii="Times New Roman" w:cs="Times New Roman" w:eastAsia="Times New Roman" w:hAnsi="Times New Roman"/>
          <w:sz w:val="16"/>
          <w:szCs w:val="16"/>
        </w:rPr>
        <w:t xml:space="preserve">[32]	</w:t>
      </w:r>
      <w:r>
        <w:rPr>
          <w:rFonts w:ascii="Times New Roman" w:cs="Times New Roman" w:eastAsia="Times New Roman" w:hAnsi="Times New Roman"/>
          <w:b w:val="false"/>
          <w:bCs w:val="false"/>
          <w:i w:val="false"/>
          <w:iCs w:val="false"/>
          <w:sz w:val="16"/>
          <w:szCs w:val="16"/>
        </w:rPr>
        <w:t xml:space="preserve">A. V. Aho and M. J. Corasick, “Efficient string matching: An aid to bibliographic search,” </w:t>
      </w:r>
      <w:r>
        <w:rPr>
          <w:rFonts w:ascii="Times New Roman" w:cs="Times New Roman" w:eastAsia="Times New Roman" w:hAnsi="Times New Roman"/>
          <w:b w:val="false"/>
          <w:bCs w:val="false"/>
          <w:i/>
          <w:iCs/>
          <w:sz w:val="16"/>
          <w:szCs w:val="16"/>
        </w:rPr>
        <w:t xml:space="preserve">Commun. ACM</w:t>
      </w:r>
      <w:r>
        <w:rPr>
          <w:rFonts w:ascii="Times New Roman" w:cs="Times New Roman" w:eastAsia="Times New Roman" w:hAnsi="Times New Roman"/>
          <w:b w:val="false"/>
          <w:bCs w:val="false"/>
          <w:i w:val="false"/>
          <w:iCs w:val="false"/>
          <w:sz w:val="16"/>
          <w:szCs w:val="16"/>
        </w:rPr>
        <w:t xml:space="preserve">, vol. 18, no. 6, pp. 333–340, Jun. 1975.</w:t>
      </w:r>
    </w:p>
    <w:p>
      <w:pPr>
        <w:pStyle w:val="Ref"/>
        <w:tabs>
          <w:tab w:val="left" w:pos="400"/>
        </w:tabs>
      </w:pPr>
      <w:r>
        <w:rPr>
          <w:rFonts w:ascii="Times New Roman" w:cs="Times New Roman" w:eastAsia="Times New Roman" w:hAnsi="Times New Roman"/>
          <w:sz w:val="16"/>
          <w:szCs w:val="16"/>
        </w:rPr>
        <w:t xml:space="preserve">[33]	</w:t>
      </w:r>
      <w:r>
        <w:rPr>
          <w:rFonts w:ascii="Times New Roman" w:cs="Times New Roman" w:eastAsia="Times New Roman" w:hAnsi="Times New Roman"/>
          <w:b w:val="false"/>
          <w:bCs w:val="false"/>
          <w:i w:val="false"/>
          <w:iCs w:val="false"/>
          <w:sz w:val="16"/>
          <w:szCs w:val="16"/>
        </w:rPr>
        <w:t xml:space="preserve">C. E. Shannon, “A mathematical theory of communication,” </w:t>
      </w:r>
      <w:r>
        <w:rPr>
          <w:rFonts w:ascii="Times New Roman" w:cs="Times New Roman" w:eastAsia="Times New Roman" w:hAnsi="Times New Roman"/>
          <w:b w:val="false"/>
          <w:bCs w:val="false"/>
          <w:i/>
          <w:iCs/>
          <w:sz w:val="16"/>
          <w:szCs w:val="16"/>
        </w:rPr>
        <w:t xml:space="preserve">Bell Syst. Tech. J.</w:t>
      </w:r>
      <w:r>
        <w:rPr>
          <w:rFonts w:ascii="Times New Roman" w:cs="Times New Roman" w:eastAsia="Times New Roman" w:hAnsi="Times New Roman"/>
          <w:b w:val="false"/>
          <w:bCs w:val="false"/>
          <w:i w:val="false"/>
          <w:iCs w:val="false"/>
          <w:sz w:val="16"/>
          <w:szCs w:val="16"/>
        </w:rPr>
        <w:t xml:space="preserve">, vol. 27, no. 3, pp. 379–423, Jul. 1948.</w:t>
      </w:r>
    </w:p>
    <w:p>
      <w:pPr>
        <w:pStyle w:val="Ref"/>
        <w:tabs>
          <w:tab w:val="left" w:pos="400"/>
        </w:tabs>
      </w:pPr>
      <w:r>
        <w:rPr>
          <w:rFonts w:ascii="Times New Roman" w:cs="Times New Roman" w:eastAsia="Times New Roman" w:hAnsi="Times New Roman"/>
          <w:sz w:val="16"/>
          <w:szCs w:val="16"/>
        </w:rPr>
        <w:t xml:space="preserve">[34]	</w:t>
      </w:r>
      <w:r>
        <w:rPr>
          <w:rFonts w:ascii="Times New Roman" w:cs="Times New Roman" w:eastAsia="Times New Roman" w:hAnsi="Times New Roman"/>
          <w:b w:val="false"/>
          <w:bCs w:val="false"/>
          <w:i w:val="false"/>
          <w:iCs w:val="false"/>
          <w:sz w:val="16"/>
          <w:szCs w:val="16"/>
        </w:rPr>
        <w:t xml:space="preserve">D. C. Liu and J. Nocedal, “On the limited memory BFGS method for large scale optimization,” </w:t>
      </w:r>
      <w:r>
        <w:rPr>
          <w:rFonts w:ascii="Times New Roman" w:cs="Times New Roman" w:eastAsia="Times New Roman" w:hAnsi="Times New Roman"/>
          <w:b w:val="false"/>
          <w:bCs w:val="false"/>
          <w:i/>
          <w:iCs/>
          <w:sz w:val="16"/>
          <w:szCs w:val="16"/>
        </w:rPr>
        <w:t xml:space="preserve">Math. Program.</w:t>
      </w:r>
      <w:r>
        <w:rPr>
          <w:rFonts w:ascii="Times New Roman" w:cs="Times New Roman" w:eastAsia="Times New Roman" w:hAnsi="Times New Roman"/>
          <w:b w:val="false"/>
          <w:bCs w:val="false"/>
          <w:i w:val="false"/>
          <w:iCs w:val="false"/>
          <w:sz w:val="16"/>
          <w:szCs w:val="16"/>
        </w:rPr>
        <w:t xml:space="preserve">, vol. 45, nos. 1–3, pp. 503–528, Aug. 1989.</w:t>
      </w:r>
    </w:p>
    <w:p>
      <w:pPr>
        <w:pStyle w:val="Ref"/>
        <w:tabs>
          <w:tab w:val="left" w:pos="400"/>
        </w:tabs>
      </w:pPr>
      <w:r>
        <w:rPr>
          <w:rFonts w:ascii="Times New Roman" w:cs="Times New Roman" w:eastAsia="Times New Roman" w:hAnsi="Times New Roman"/>
          <w:sz w:val="16"/>
          <w:szCs w:val="16"/>
        </w:rPr>
        <w:t xml:space="preserve">[35]	</w:t>
      </w:r>
      <w:r>
        <w:rPr>
          <w:rFonts w:ascii="Times New Roman" w:cs="Times New Roman" w:eastAsia="Times New Roman" w:hAnsi="Times New Roman"/>
          <w:b w:val="false"/>
          <w:bCs w:val="false"/>
          <w:i w:val="false"/>
          <w:iCs w:val="false"/>
          <w:sz w:val="16"/>
          <w:szCs w:val="16"/>
        </w:rPr>
        <w:t xml:space="preserve">T. Berners-Lee, R. Fielding, and L. Masinter, “Uniform Resource Identifier (URI): Generic syntax,” Internet Eng. Task Force, RFC 3986, Jan. 2005.</w:t>
      </w:r>
    </w:p>
    <w:p>
      <w:pPr>
        <w:pStyle w:val="Ref"/>
        <w:tabs>
          <w:tab w:val="left" w:pos="400"/>
        </w:tabs>
      </w:pPr>
      <w:r>
        <w:rPr>
          <w:rFonts w:ascii="Times New Roman" w:cs="Times New Roman" w:eastAsia="Times New Roman" w:hAnsi="Times New Roman"/>
          <w:sz w:val="16"/>
          <w:szCs w:val="16"/>
        </w:rPr>
        <w:t xml:space="preserve">[36]	</w:t>
      </w:r>
      <w:r>
        <w:rPr>
          <w:rFonts w:ascii="Times New Roman" w:cs="Times New Roman" w:eastAsia="Times New Roman" w:hAnsi="Times New Roman"/>
          <w:b w:val="false"/>
          <w:bCs w:val="false"/>
          <w:i w:val="false"/>
          <w:iCs w:val="false"/>
          <w:sz w:val="16"/>
          <w:szCs w:val="16"/>
        </w:rPr>
        <w:t xml:space="preserve">Q. McNemar, “Note on the sampling error of the difference between correlated proportions or percentages,” </w:t>
      </w:r>
      <w:r>
        <w:rPr>
          <w:rFonts w:ascii="Times New Roman" w:cs="Times New Roman" w:eastAsia="Times New Roman" w:hAnsi="Times New Roman"/>
          <w:b w:val="false"/>
          <w:bCs w:val="false"/>
          <w:i/>
          <w:iCs/>
          <w:sz w:val="16"/>
          <w:szCs w:val="16"/>
        </w:rPr>
        <w:t xml:space="preserve">Psychometrika</w:t>
      </w:r>
      <w:r>
        <w:rPr>
          <w:rFonts w:ascii="Times New Roman" w:cs="Times New Roman" w:eastAsia="Times New Roman" w:hAnsi="Times New Roman"/>
          <w:b w:val="false"/>
          <w:bCs w:val="false"/>
          <w:i w:val="false"/>
          <w:iCs w:val="false"/>
          <w:sz w:val="16"/>
          <w:szCs w:val="16"/>
        </w:rPr>
        <w:t xml:space="preserve">, vol. 12, no. 2, pp. 153–157, Jun. 1947.</w:t>
      </w:r>
    </w:p>
    <w:p>
      <w:pPr>
        <w:pStyle w:val="Ref"/>
        <w:tabs>
          <w:tab w:val="left" w:pos="400"/>
        </w:tabs>
      </w:pPr>
      <w:r>
        <w:rPr>
          <w:rFonts w:ascii="Times New Roman" w:cs="Times New Roman" w:eastAsia="Times New Roman" w:hAnsi="Times New Roman"/>
          <w:sz w:val="16"/>
          <w:szCs w:val="16"/>
        </w:rPr>
        <w:t xml:space="preserve">[37]	</w:t>
      </w:r>
      <w:r>
        <w:rPr>
          <w:rFonts w:ascii="Times New Roman" w:cs="Times New Roman" w:eastAsia="Times New Roman" w:hAnsi="Times New Roman"/>
          <w:b w:val="false"/>
          <w:bCs w:val="false"/>
          <w:i w:val="false"/>
          <w:iCs w:val="false"/>
          <w:sz w:val="16"/>
          <w:szCs w:val="16"/>
        </w:rPr>
        <w:t xml:space="preserve">J. A. Hanley and A. Lippman-Hand, “If nothing goes wrong, is everything all right? Interpreting zero numerators,” </w:t>
      </w:r>
      <w:r>
        <w:rPr>
          <w:rFonts w:ascii="Times New Roman" w:cs="Times New Roman" w:eastAsia="Times New Roman" w:hAnsi="Times New Roman"/>
          <w:b w:val="false"/>
          <w:bCs w:val="false"/>
          <w:i/>
          <w:iCs/>
          <w:sz w:val="16"/>
          <w:szCs w:val="16"/>
        </w:rPr>
        <w:t xml:space="preserve">JAMA</w:t>
      </w:r>
      <w:r>
        <w:rPr>
          <w:rFonts w:ascii="Times New Roman" w:cs="Times New Roman" w:eastAsia="Times New Roman" w:hAnsi="Times New Roman"/>
          <w:b w:val="false"/>
          <w:bCs w:val="false"/>
          <w:i w:val="false"/>
          <w:iCs w:val="false"/>
          <w:sz w:val="16"/>
          <w:szCs w:val="16"/>
        </w:rPr>
        <w:t xml:space="preserve">, vol. 249, no. 13, pp. 1743–1745, Apr. 1983.</w:t>
      </w:r>
    </w:p>
    <w:p>
      <w:pPr>
        <w:pStyle w:val="Ref"/>
        <w:tabs>
          <w:tab w:val="left" w:pos="400"/>
        </w:tabs>
      </w:pPr>
      <w:r>
        <w:rPr>
          <w:rFonts w:ascii="Times New Roman" w:cs="Times New Roman" w:eastAsia="Times New Roman" w:hAnsi="Times New Roman"/>
          <w:sz w:val="16"/>
          <w:szCs w:val="16"/>
        </w:rPr>
        <w:t xml:space="preserve">[38]	</w:t>
      </w:r>
      <w:r>
        <w:rPr>
          <w:rFonts w:ascii="Times New Roman" w:cs="Times New Roman" w:eastAsia="Times New Roman" w:hAnsi="Times New Roman"/>
          <w:b w:val="false"/>
          <w:bCs w:val="false"/>
          <w:i w:val="false"/>
          <w:iCs w:val="false"/>
          <w:sz w:val="16"/>
          <w:szCs w:val="16"/>
        </w:rPr>
        <w:t xml:space="preserve">C. J. Clopper and E. S. Pearson, “The use of confidence or fiducial limits illustrated in the case of the binomial,” </w:t>
      </w:r>
      <w:r>
        <w:rPr>
          <w:rFonts w:ascii="Times New Roman" w:cs="Times New Roman" w:eastAsia="Times New Roman" w:hAnsi="Times New Roman"/>
          <w:b w:val="false"/>
          <w:bCs w:val="false"/>
          <w:i/>
          <w:iCs/>
          <w:sz w:val="16"/>
          <w:szCs w:val="16"/>
        </w:rPr>
        <w:t xml:space="preserve">Biometrika</w:t>
      </w:r>
      <w:r>
        <w:rPr>
          <w:rFonts w:ascii="Times New Roman" w:cs="Times New Roman" w:eastAsia="Times New Roman" w:hAnsi="Times New Roman"/>
          <w:b w:val="false"/>
          <w:bCs w:val="false"/>
          <w:i w:val="false"/>
          <w:iCs w:val="false"/>
          <w:sz w:val="16"/>
          <w:szCs w:val="16"/>
        </w:rPr>
        <w:t xml:space="preserve">, vol. 26, no. 4, pp. 404–413, Dec. 1934.</w:t>
      </w:r>
    </w:p>
    <w:sectPr>
      <w:type w:val="continuous"/>
      <w:pgSz w:w="12240" w:h="15840" w:orient="portrait"/>
      <w:pgMar w:top="1080" w:right="900" w:bottom="1440" w:left="900" w:header="500" w:footer="7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abstractNum w:abstractNumId="3" w15:restartNumberingAfterBreak="0">
    <w:multiLevelType w:val="hybridMultilevel"/>
    <w:lvl w:ilvl="0" w15:tentative="1">
      <w:start w:val="1"/>
      <w:numFmt w:val="decimal"/>
      <w:lvlText w:val="%1)"/>
      <w:lvlJc w:val="left"/>
      <w:pPr>
        <w:ind w:left="3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sz w:val="48"/>
      <w:szCs w:val="48"/>
    </w:rPr>
  </w:style>
  <w:style w:type="paragraph" w:styleId="Author">
    <w:name w:val="Author"/>
    <w:basedOn w:val="Normal"/>
    <w:pPr>
      <w:spacing w:after="0" w:before="0"/>
      <w:jc w:val="center"/>
    </w:pPr>
    <w:rPr>
      <w:rFonts w:ascii="Times New Roman" w:cs="Times New Roman" w:eastAsia="Times New Roman" w:hAnsi="Times New Roman"/>
      <w:sz w:val="20"/>
      <w:szCs w:val="20"/>
    </w:rPr>
  </w:style>
  <w:style w:type="paragraph" w:styleId="Abstract">
    <w:name w:val="Abstract"/>
    <w:basedOn w:val="Normal"/>
    <w:pPr>
      <w:spacing w:after="0" w:before="0"/>
      <w:jc w:val="both"/>
    </w:pPr>
    <w:rPr>
      <w:rFonts w:ascii="Times New Roman" w:cs="Times New Roman" w:eastAsia="Times New Roman" w:hAnsi="Times New Roman"/>
      <w:b/>
      <w:bCs/>
      <w:sz w:val="18"/>
      <w:szCs w:val="18"/>
    </w:rPr>
  </w:style>
  <w:style w:type="paragraph" w:styleId="Body">
    <w:name w:val="Body Text"/>
    <w:basedOn w:val="Normal"/>
    <w:qFormat/>
    <w:pPr>
      <w:spacing w:after="0" w:before="0" w:line="240"/>
      <w:ind w:firstLine="245"/>
      <w:jc w:val="both"/>
    </w:pPr>
    <w:rPr>
      <w:rFonts w:ascii="Times New Roman" w:cs="Times New Roman" w:eastAsia="Times New Roman" w:hAnsi="Times New Roman"/>
      <w:sz w:val="20"/>
      <w:szCs w:val="20"/>
    </w:rPr>
  </w:style>
  <w:style w:type="paragraph" w:styleId="ListItem">
    <w:name w:val="List Item"/>
    <w:basedOn w:val="Normal"/>
    <w:pPr>
      <w:spacing w:after="20" w:before="0" w:line="240"/>
      <w:jc w:val="both"/>
    </w:pPr>
    <w:rPr>
      <w:rFonts w:ascii="Times New Roman" w:cs="Times New Roman" w:eastAsia="Times New Roman" w:hAnsi="Times New Roman"/>
      <w:sz w:val="20"/>
      <w:szCs w:val="20"/>
    </w:rPr>
  </w:style>
  <w:style w:type="paragraph" w:styleId="Heading1">
    <w:name w:val="Heading 1"/>
    <w:basedOn w:val="Normal"/>
    <w:next w:val="Body"/>
    <w:qFormat/>
    <w:pPr>
      <w:keepNext/>
      <w:spacing w:after="80" w:before="20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Body"/>
    <w:qFormat/>
    <w:pPr>
      <w:keepNext/>
      <w:spacing w:after="40" w:before="120"/>
      <w:jc w:val="left"/>
      <w:outlineLvl w:val="1"/>
    </w:pPr>
    <w:rPr>
      <w:rFonts w:ascii="Times New Roman" w:cs="Times New Roman" w:eastAsia="Times New Roman" w:hAnsi="Times New Roman"/>
      <w:b w:val="false"/>
      <w:bCs w:val="false"/>
      <w:i/>
      <w:iCs/>
      <w:sz w:val="20"/>
      <w:szCs w:val="20"/>
    </w:rPr>
  </w:style>
  <w:style w:type="paragraph" w:styleId="Equation">
    <w:name w:val="Equation"/>
    <w:basedOn w:val="Normal"/>
    <w:pPr>
      <w:keepLines/>
      <w:spacing w:after="40" w:before="40"/>
      <w:jc w:val="left"/>
    </w:pPr>
    <w:rPr>
      <w:rFonts w:ascii="Times New Roman" w:cs="Times New Roman" w:eastAsia="Times New Roman" w:hAnsi="Times New Roman"/>
      <w:sz w:val="20"/>
      <w:szCs w:val="20"/>
    </w:rPr>
  </w:style>
  <w:style w:type="paragraph" w:styleId="Caption">
    <w:name w:val="Caption"/>
    <w:basedOn w:val="Normal"/>
    <w:pPr>
      <w:spacing w:after="0" w:before="0"/>
      <w:jc w:val="both"/>
    </w:pPr>
    <w:rPr>
      <w:rFonts w:ascii="Times New Roman" w:cs="Times New Roman" w:eastAsia="Times New Roman" w:hAnsi="Times New Roman"/>
      <w:sz w:val="16"/>
      <w:szCs w:val="16"/>
    </w:rPr>
  </w:style>
  <w:style w:type="paragraph" w:styleId="TableText">
    <w:name w:val="Table Text"/>
    <w:basedOn w:val="Normal"/>
    <w:pPr>
      <w:spacing w:after="0" w:before="0"/>
    </w:pPr>
    <w:rPr>
      <w:rFonts w:ascii="Times New Roman" w:cs="Times New Roman" w:eastAsia="Times New Roman" w:hAnsi="Times New Roman"/>
      <w:sz w:val="16"/>
      <w:szCs w:val="16"/>
    </w:rPr>
  </w:style>
  <w:style w:type="paragraph" w:styleId="Code">
    <w:name w:val="Code Block"/>
    <w:basedOn w:val="Normal"/>
    <w:pPr>
      <w:spacing w:after="0" w:before="0"/>
    </w:pPr>
    <w:rPr>
      <w:rFonts w:ascii="Courier New" w:cs="Courier New" w:eastAsia="Courier New" w:hAnsi="Courier New"/>
      <w:sz w:val="15"/>
      <w:szCs w:val="15"/>
    </w:rPr>
  </w:style>
  <w:style w:type="paragraph" w:styleId="Ref">
    <w:name w:val="Reference"/>
    <w:basedOn w:val="Normal"/>
    <w:pPr>
      <w:spacing w:after="40" w:before="0"/>
      <w:ind w:left="400" w:hanging="400"/>
      <w:jc w:val="both"/>
    </w:pPr>
    <w:rPr>
      <w:rFonts w:ascii="Times New Roman" w:cs="Times New Roman" w:eastAsia="Times New Roman" w:hAnsi="Times New Roman"/>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2853520016b5b6a9adfb43cda62262b89a3a39.jpg"/><Relationship Id="rId8" Type="http://schemas.openxmlformats.org/officeDocument/2006/relationships/image" Target="media/51ef55d865a9247aa12940155f5be834a44bfd46.jpg"/><Relationship Id="rId9" Type="http://schemas.openxmlformats.org/officeDocument/2006/relationships/image" Target="media/306c509f9590265cd0bf682b0a97844c52fb1b42.jpg"/><Relationship Id="rId10" Type="http://schemas.openxmlformats.org/officeDocument/2006/relationships/image" Target="media/61e32ea114ef84ee7cc8b258cca1370080682e19.png"/><Relationship Id="rId11" Type="http://schemas.openxmlformats.org/officeDocument/2006/relationships/image" Target="media/dae05ce322de27a556aa840e6fb386fe305c63b9.jpg"/><Relationship Id="rId12" Type="http://schemas.openxmlformats.org/officeDocument/2006/relationships/image" Target="media/7b4257432da3ed8199fc61a4781e8329310f3ab0.jpg"/><Relationship Id="rId13" Type="http://schemas.openxmlformats.org/officeDocument/2006/relationships/image" Target="media/ac9bfe250affb74a614fb9f48f4353fdb5f4431d.jp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LogShield: In-Pod Secret Sanitization and Autonomous Closed-Loop Containment for Kubernetes Log Streams</dc:title>
  <dc:creator>Rounak Neema</dc:creator>
  <cp:lastModifiedBy>Un-named</cp:lastModifiedBy>
  <cp:revision>1</cp:revision>
  <dcterms:created xsi:type="dcterms:W3CDTF">2026-10-28T09:00:36.658Z</dcterms:created>
  <dcterms:modified xsi:type="dcterms:W3CDTF">2026-10-28T09:00:36.664Z</dcterms:modified>
</cp:coreProperties>
</file>

<file path=docProps/custom.xml><?xml version="1.0" encoding="utf-8"?>
<Properties xmlns="http://schemas.openxmlformats.org/officeDocument/2006/custom-properties" xmlns:vt="http://schemas.openxmlformats.org/officeDocument/2006/docPropsVTypes"/>
</file>