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8D842" w14:textId="357E68BA" w:rsidR="009D0753" w:rsidRDefault="009D0753">
      <w:r>
        <w:t>Thesis notes:</w:t>
      </w:r>
    </w:p>
    <w:p w14:paraId="6D79EC65" w14:textId="2A797A53" w:rsidR="009D0753" w:rsidRDefault="009D0753" w:rsidP="00776E7A">
      <w:pPr>
        <w:pStyle w:val="Heading1"/>
      </w:pPr>
      <w:r>
        <w:t>From Price Impact Handbook –</w:t>
      </w:r>
    </w:p>
    <w:p w14:paraId="2C7C5015" w14:textId="179A3D20" w:rsidR="009D0753" w:rsidRDefault="009D0753">
      <w:pPr>
        <w:rPr>
          <w:i/>
          <w:iCs/>
        </w:rPr>
      </w:pPr>
      <w:r w:rsidRPr="009D0753">
        <w:rPr>
          <w:i/>
          <w:iCs/>
        </w:rPr>
        <w:t>The BASEL committee motivates the FRTB in its Explanatory note on the minimum capital requirements for market risk (2019)[182] considering the 2008 financial crisis: “the Committee acknowledged that a number of structural shortcomings that came to light during the crisis remained unaddressed. It therefore conducted a ‘fundamental review of the trading book’ (FRTB). The objective of the project was to develop a new, more robust framework to establish minimum capital requirements for market risk, drawing on the experience of ‘what went wrong’ in the build-up to the crisis” (p. 5). The BASEL committee emphasizes the inability to measure the liquidity risk and price impact of a firm’s overall trading as a critical shortcoming during past crises. “Inability to capture the risk of market illiquidity. The Basel 2.5 frame work assumed that individual banks would be able to exit or hedge their trading book exposures over a 10-day period without affecting market prices. However, in times of stress, the market is likely to become illiq uid rapidly when the banking system as a whole holds similar exposures. This happened at the height of the crisis as banks were unable to exit or hedge positions in a short time frame, resulting to substantial mark to-market losses” (p. 7)</w:t>
      </w:r>
    </w:p>
    <w:p w14:paraId="341184AA" w14:textId="682ADBCC" w:rsidR="009D0753" w:rsidRDefault="00695213">
      <w:r>
        <w:t>Price impact estimates from Handbook with references (pg 27)</w:t>
      </w:r>
    </w:p>
    <w:p w14:paraId="3FC07BD8" w14:textId="2FEF6587" w:rsidR="00695213" w:rsidRDefault="00695213">
      <w:pPr>
        <w:rPr>
          <w:i/>
          <w:iCs/>
        </w:rPr>
      </w:pPr>
      <w:r w:rsidRPr="00695213">
        <w:rPr>
          <w:i/>
          <w:iCs/>
        </w:rPr>
        <w:t>(a) Almgren et al. (2005)[11] “presents a quantitative analysis of market im pact costs based on a large sample of Citigroup US equity brokerage exe cutions” (p. 3). For example, Almgren et al. forecast that the price impact of a purchase of 10% of the day’s average volume in IBM is 20bps. (b) Caccioli, Bouchaud, and Farmer (2012)[53] forecast price impact for orders of 10 times the daily average volume. “For stocks we assume Q = 10V, which assuming the same participation rate implies a position that would take 50 trading days to unwind. Such positions may seem large, but they do occur for large funds; for instance, Warren Buffet was recently reported to have taken more than eight months to buy a 5.5% share of IBM” (p. 13). For instance, Caccioli, Bouchaud, and Farmer assess such a sizable order to have a price impact of 2.9% on AAPL. (c) In “The 2022 Intern’s Guide to Trading”, Nasdaq (2022, Chart 4)[159] estimates 30bps of trading costs for large-cap stocks, 50bps for mid-cap stocks, and 75bps for small-cap stocks for the average institutional order.</w:t>
      </w:r>
    </w:p>
    <w:p w14:paraId="56A07930" w14:textId="77777777" w:rsidR="00695213" w:rsidRDefault="00695213">
      <w:pPr>
        <w:rPr>
          <w:i/>
          <w:iCs/>
        </w:rPr>
      </w:pPr>
    </w:p>
    <w:p w14:paraId="23782E46" w14:textId="3E54FE98" w:rsidR="00695213" w:rsidRDefault="00695213">
      <w:pPr>
        <w:rPr>
          <w:i/>
          <w:iCs/>
        </w:rPr>
      </w:pPr>
      <w:r w:rsidRPr="00695213">
        <w:t>Mifid II rules (pg 32)</w:t>
      </w:r>
      <w:r>
        <w:rPr>
          <w:i/>
          <w:iCs/>
        </w:rPr>
        <w:br/>
      </w:r>
      <w:r w:rsidRPr="00695213">
        <w:rPr>
          <w:i/>
          <w:iCs/>
        </w:rPr>
        <w:t xml:space="preserve">Remark 1.3.1 (MiFID II requirements). The European Union [71] docu ments MiFID II requirements for best execution in Article 27: “Obligation to execute orders on terms most favourable to the client” (p. 48). The regulators “require investment firms who execute client orders to monitor the ef fectiveness of their order execution </w:t>
      </w:r>
      <w:r w:rsidRPr="00695213">
        <w:rPr>
          <w:i/>
          <w:iCs/>
        </w:rPr>
        <w:lastRenderedPageBreak/>
        <w:t>arrangements and execution policy in order to identify and, where appropriate, correct any deficiencies” (p. 49). “require investment firms to be able to demonstrate to their clients, at their request, that they have executed their orders in accordance with the investment firm’s execution policy and to demonstrate to the competent authority, at its request, their compliance with this Article” (p. 50)</w:t>
      </w:r>
    </w:p>
    <w:p w14:paraId="773BD94D" w14:textId="77777777" w:rsidR="00695213" w:rsidRDefault="00695213">
      <w:pPr>
        <w:rPr>
          <w:i/>
          <w:iCs/>
        </w:rPr>
      </w:pPr>
    </w:p>
    <w:p w14:paraId="4AE2DC26" w14:textId="4350D04B" w:rsidR="00695213" w:rsidRDefault="00695213">
      <w:r>
        <w:t>Ben Bernanke (pg 36)</w:t>
      </w:r>
    </w:p>
    <w:p w14:paraId="3B1DFE94" w14:textId="5346DA03" w:rsidR="00695213" w:rsidRDefault="00695213">
      <w:pPr>
        <w:rPr>
          <w:i/>
          <w:iCs/>
        </w:rPr>
      </w:pPr>
      <w:r w:rsidRPr="00695213">
        <w:rPr>
          <w:i/>
          <w:iCs/>
        </w:rPr>
        <w:t>“The notion that financial assets can always be sold at prices close to their fundamental values is built into most economic analysis, and before the crisis, the liquidity of major markets was often taken for granted by financial market participants and regulators alike” (p. 16). These price dislocations away from fundamental values are due to price impact driving down prices: “To obtain critically needed liquidity, firms were forced to sell assets quickly, but these ‘fire sales’ drove down asset prices” (p. 16).</w:t>
      </w:r>
    </w:p>
    <w:p w14:paraId="3EC60B3B" w14:textId="77777777" w:rsidR="00695213" w:rsidRPr="00695213" w:rsidRDefault="00695213"/>
    <w:p w14:paraId="5D8BEE3B" w14:textId="2052CCB8" w:rsidR="00695213" w:rsidRPr="00695213" w:rsidRDefault="00695213">
      <w:r w:rsidRPr="00695213">
        <w:t>Caccioli Bouchaud and Farmer pg 36</w:t>
      </w:r>
    </w:p>
    <w:p w14:paraId="2D404179" w14:textId="682A8E12" w:rsidR="00695213" w:rsidRDefault="00695213">
      <w:pPr>
        <w:rPr>
          <w:i/>
          <w:iCs/>
        </w:rPr>
      </w:pPr>
      <w:r w:rsidRPr="00695213">
        <w:rPr>
          <w:i/>
          <w:iCs/>
        </w:rPr>
        <w:t>Caccioli, Bouchaud, and Farmer (2012)[53] accentuate the need to move away from fundamental economic models during liquidity crises. Emphasis was added. “We take advantage of what has been learned recently about market impact to propose a method for impact-adjusted valua tion that results in better risk control than mark-to-market val uation. This is in line with other recent proposals that valuation should be based on liquidation prices. Estimating liquidation prices requires a good understanding of market impact”</w:t>
      </w:r>
    </w:p>
    <w:p w14:paraId="65CB6945" w14:textId="77777777" w:rsidR="00695213" w:rsidRDefault="00695213">
      <w:pPr>
        <w:rPr>
          <w:i/>
          <w:iCs/>
        </w:rPr>
      </w:pPr>
    </w:p>
    <w:p w14:paraId="55CDE1BE" w14:textId="3D3F0BD1" w:rsidR="00695213" w:rsidRDefault="00695213">
      <w:r>
        <w:t>Probably I should read the papers on page 36 and 37… which seems to describe exactly the Archegos case…</w:t>
      </w:r>
    </w:p>
    <w:p w14:paraId="367F206B" w14:textId="2567956C" w:rsidR="00776E7A" w:rsidRDefault="00776E7A" w:rsidP="00776E7A">
      <w:pPr>
        <w:pStyle w:val="Heading1"/>
      </w:pPr>
      <w:r>
        <w:t>General Thesis Notes</w:t>
      </w:r>
    </w:p>
    <w:p w14:paraId="613BDB98" w14:textId="1F9FC94F" w:rsidR="00695213" w:rsidRDefault="00695213">
      <w:r>
        <w:t>Certainly it seems some consideration has been given to these models and the correlation of negative returns in a market wide fire sale, but not under a default scenario. Perhaps my contribution would be the application to specifically model the prime brokerage business, with the requirements of margin etc, and the effects that this would have on the resultant margin needs</w:t>
      </w:r>
      <w:r w:rsidR="00331D4A">
        <w:t xml:space="preserve"> and leverage allowances.</w:t>
      </w:r>
    </w:p>
    <w:p w14:paraId="5A4523AA" w14:textId="5355238D" w:rsidR="00331D4A" w:rsidRDefault="00331D4A">
      <w:r>
        <w:t xml:space="preserve">Game theory element could be incorporated – Based on report that banks had a meeting, this knowledge of other bank’s desire to trade, incentivises all of them to liquidate in order to save their own position. (In case one of them did) Without this </w:t>
      </w:r>
      <w:r>
        <w:lastRenderedPageBreak/>
        <w:t>knowledge, the banks may not have acted to liquidate so quickly. – Could try to measure this?</w:t>
      </w:r>
    </w:p>
    <w:p w14:paraId="27A5C01A" w14:textId="253C6488" w:rsidR="002B2670" w:rsidRPr="00695213" w:rsidRDefault="002B2670">
      <w:r>
        <w:t>The price impact handbook largely focuses on trading based on alpha. In practice when banks liquidate when acting as prime brokers it is not due to alpha, some view as to how the stock will move, but as a result of a failed margin call (default).</w:t>
      </w:r>
    </w:p>
    <w:sectPr w:rsidR="002B2670" w:rsidRPr="006952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753"/>
    <w:rsid w:val="002B2670"/>
    <w:rsid w:val="00331D4A"/>
    <w:rsid w:val="00695213"/>
    <w:rsid w:val="00726B65"/>
    <w:rsid w:val="00776E7A"/>
    <w:rsid w:val="00850589"/>
    <w:rsid w:val="009D075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6C73F"/>
  <w15:chartTrackingRefBased/>
  <w15:docId w15:val="{40E8AC61-355E-4186-B25C-9BF9AD18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753"/>
    <w:rPr>
      <w:rFonts w:eastAsiaTheme="majorEastAsia" w:cstheme="majorBidi"/>
      <w:color w:val="272727" w:themeColor="text1" w:themeTint="D8"/>
    </w:rPr>
  </w:style>
  <w:style w:type="paragraph" w:styleId="Title">
    <w:name w:val="Title"/>
    <w:basedOn w:val="Normal"/>
    <w:next w:val="Normal"/>
    <w:link w:val="TitleChar"/>
    <w:uiPriority w:val="10"/>
    <w:qFormat/>
    <w:rsid w:val="009D0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753"/>
    <w:pPr>
      <w:spacing w:before="160"/>
      <w:jc w:val="center"/>
    </w:pPr>
    <w:rPr>
      <w:i/>
      <w:iCs/>
      <w:color w:val="404040" w:themeColor="text1" w:themeTint="BF"/>
    </w:rPr>
  </w:style>
  <w:style w:type="character" w:customStyle="1" w:styleId="QuoteChar">
    <w:name w:val="Quote Char"/>
    <w:basedOn w:val="DefaultParagraphFont"/>
    <w:link w:val="Quote"/>
    <w:uiPriority w:val="29"/>
    <w:rsid w:val="009D0753"/>
    <w:rPr>
      <w:i/>
      <w:iCs/>
      <w:color w:val="404040" w:themeColor="text1" w:themeTint="BF"/>
    </w:rPr>
  </w:style>
  <w:style w:type="paragraph" w:styleId="ListParagraph">
    <w:name w:val="List Paragraph"/>
    <w:basedOn w:val="Normal"/>
    <w:uiPriority w:val="34"/>
    <w:qFormat/>
    <w:rsid w:val="009D0753"/>
    <w:pPr>
      <w:ind w:left="720"/>
      <w:contextualSpacing/>
    </w:pPr>
  </w:style>
  <w:style w:type="character" w:styleId="IntenseEmphasis">
    <w:name w:val="Intense Emphasis"/>
    <w:basedOn w:val="DefaultParagraphFont"/>
    <w:uiPriority w:val="21"/>
    <w:qFormat/>
    <w:rsid w:val="009D0753"/>
    <w:rPr>
      <w:i/>
      <w:iCs/>
      <w:color w:val="0F4761" w:themeColor="accent1" w:themeShade="BF"/>
    </w:rPr>
  </w:style>
  <w:style w:type="paragraph" w:styleId="IntenseQuote">
    <w:name w:val="Intense Quote"/>
    <w:basedOn w:val="Normal"/>
    <w:next w:val="Normal"/>
    <w:link w:val="IntenseQuoteChar"/>
    <w:uiPriority w:val="30"/>
    <w:qFormat/>
    <w:rsid w:val="009D0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753"/>
    <w:rPr>
      <w:i/>
      <w:iCs/>
      <w:color w:val="0F4761" w:themeColor="accent1" w:themeShade="BF"/>
    </w:rPr>
  </w:style>
  <w:style w:type="character" w:styleId="IntenseReference">
    <w:name w:val="Intense Reference"/>
    <w:basedOn w:val="DefaultParagraphFont"/>
    <w:uiPriority w:val="32"/>
    <w:qFormat/>
    <w:rsid w:val="009D0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Pink</dc:creator>
  <cp:keywords/>
  <dc:description/>
  <cp:lastModifiedBy>Thomas Pink</cp:lastModifiedBy>
  <cp:revision>2</cp:revision>
  <dcterms:created xsi:type="dcterms:W3CDTF">2025-07-17T20:18:00Z</dcterms:created>
  <dcterms:modified xsi:type="dcterms:W3CDTF">2025-07-17T21:48:00Z</dcterms:modified>
</cp:coreProperties>
</file>