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Informe de Pruebas de Rendimiento</w:t>
      </w:r>
    </w:p>
    <w:p>
      <w:pPr>
        <w:jc w:val="center"/>
      </w:pPr>
      <w:r>
        <w:rPr>
          <w:rFonts w:ascii="Arial" w:hAnsi="Arial"/>
          <w:color w:val="5A5A5A"/>
          <w:sz w:val="22"/>
        </w:rPr>
        <w:t>k6 y caracteristicas del servidor</w:t>
      </w:r>
    </w:p>
    <w:p/>
    <w:p>
      <w:pPr>
        <w:pStyle w:val="Heading1"/>
      </w:pPr>
      <w:r>
        <w:t>Informe de Pruebas de Rendimiento</w:t>
      </w:r>
    </w:p>
    <w:p>
      <w:pPr>
        <w:pStyle w:val="Heading2"/>
      </w:pPr>
      <w:r>
        <w:t>Alcance</w:t>
      </w:r>
    </w:p>
    <w:p>
      <w:r>
        <w:t>Validar disponibilidad y tiempos de respuesta iniciales de los flujos principales con k6.</w:t>
      </w:r>
    </w:p>
    <w:p>
      <w:pPr>
        <w:pStyle w:val="Heading2"/>
      </w:pPr>
      <w:r>
        <w:t>Caracteristicas del servidor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Componente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Aplicacion</w:t>
            </w:r>
          </w:p>
        </w:tc>
        <w:tc>
          <w:tcPr>
            <w:tcW w:type="dxa" w:w="4680"/>
          </w:tcPr>
          <w:p>
            <w:r>
              <w:t>Spring Boot 4 / Java 17</w:t>
            </w:r>
          </w:p>
        </w:tc>
      </w:tr>
      <w:tr>
        <w:tc>
          <w:tcPr>
            <w:tcW w:type="dxa" w:w="4680"/>
          </w:tcPr>
          <w:p>
            <w:r>
              <w:t>Base de datos</w:t>
            </w:r>
          </w:p>
        </w:tc>
        <w:tc>
          <w:tcPr>
            <w:tcW w:type="dxa" w:w="4680"/>
          </w:tcPr>
          <w:p>
            <w:r>
              <w:t>MySQL 8.4</w:t>
            </w:r>
          </w:p>
        </w:tc>
      </w:tr>
      <w:tr>
        <w:tc>
          <w:tcPr>
            <w:tcW w:type="dxa" w:w="4680"/>
          </w:tcPr>
          <w:p>
            <w:r>
              <w:t>Contenedores</w:t>
            </w:r>
          </w:p>
        </w:tc>
        <w:tc>
          <w:tcPr>
            <w:tcW w:type="dxa" w:w="4680"/>
          </w:tcPr>
          <w:p>
            <w:r>
              <w:t>Docker Compose</w:t>
            </w:r>
          </w:p>
        </w:tc>
      </w:tr>
      <w:tr>
        <w:tc>
          <w:tcPr>
            <w:tcW w:type="dxa" w:w="4680"/>
          </w:tcPr>
          <w:p>
            <w:r>
              <w:t>Puerto ambiente</w:t>
            </w:r>
          </w:p>
        </w:tc>
        <w:tc>
          <w:tcPr>
            <w:tcW w:type="dxa" w:w="4680"/>
          </w:tcPr>
          <w:p>
            <w:r>
              <w:t>`8085` por defecto</w:t>
            </w:r>
          </w:p>
        </w:tc>
      </w:tr>
      <w:tr>
        <w:tc>
          <w:tcPr>
            <w:tcW w:type="dxa" w:w="4680"/>
          </w:tcPr>
          <w:p>
            <w:r>
              <w:t>URL base</w:t>
            </w:r>
          </w:p>
        </w:tc>
        <w:tc>
          <w:tcPr>
            <w:tcW w:type="dxa" w:w="4680"/>
          </w:tcPr>
          <w:p>
            <w:r>
              <w:t>`APP_BASE_URL`</w:t>
            </w:r>
          </w:p>
        </w:tc>
      </w:tr>
    </w:tbl>
    <w:p/>
    <w:p>
      <w:pPr>
        <w:pStyle w:val="Heading2"/>
      </w:pPr>
      <w:r>
        <w:t>Ejecucion</w:t>
      </w:r>
    </w:p>
    <w:p>
      <w:r>
        <w:t>docker compose up -d --build</w:t>
      </w:r>
    </w:p>
    <w:p>
      <w:r>
        <w:t>./scripts/ci/run-k6-suite.sh http://localhost:8085</w:t>
      </w:r>
    </w:p>
    <w:p>
      <w:pPr>
        <w:pStyle w:val="Heading2"/>
      </w:pPr>
      <w:r>
        <w:t>Escenarios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Modulo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Scripts</w:t>
            </w:r>
          </w:p>
        </w:tc>
      </w:tr>
      <w:tr>
        <w:tc>
          <w:tcPr>
            <w:tcW w:type="dxa" w:w="4680"/>
          </w:tcPr>
          <w:p>
            <w:r>
              <w:t>Login</w:t>
            </w:r>
          </w:p>
        </w:tc>
        <w:tc>
          <w:tcPr>
            <w:tcW w:type="dxa" w:w="4680"/>
          </w:tcPr>
          <w:p>
            <w:r>
              <w:t>`pruebasK6/Login/smoke-test.js`, `load-test.js`, `stress-test.js`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`pruebasK6/Producto/smoke-test.js`, `load-test.js`, `stress-test.js`</w:t>
            </w:r>
          </w:p>
        </w:tc>
      </w:tr>
      <w:tr>
        <w:tc>
          <w:tcPr>
            <w:tcW w:type="dxa" w:w="4680"/>
          </w:tcPr>
          <w:p>
            <w:r>
              <w:t>Tienda</w:t>
            </w:r>
          </w:p>
        </w:tc>
        <w:tc>
          <w:tcPr>
            <w:tcW w:type="dxa" w:w="4680"/>
          </w:tcPr>
          <w:p>
            <w:r>
              <w:t>`pruebasK6/Tienda/smoke-test.js`, `load-test.js`, `stress-test.js`</w:t>
            </w:r>
          </w:p>
        </w:tc>
      </w:tr>
      <w:tr>
        <w:tc>
          <w:tcPr>
            <w:tcW w:type="dxa" w:w="4680"/>
          </w:tcPr>
          <w:p>
            <w:r>
              <w:t>DetallePedido</w:t>
            </w:r>
          </w:p>
        </w:tc>
        <w:tc>
          <w:tcPr>
            <w:tcW w:type="dxa" w:w="4680"/>
          </w:tcPr>
          <w:p>
            <w:r>
              <w:t>`pruebasK6/DetallePedido/smoke-test.js`, `load-test.js`, `stress-test.js`</w:t>
            </w:r>
          </w:p>
        </w:tc>
      </w:tr>
      <w:tr>
        <w:tc>
          <w:tcPr>
            <w:tcW w:type="dxa" w:w="4680"/>
          </w:tcPr>
          <w:p>
            <w:r>
              <w:t>PedidoEspecial</w:t>
            </w:r>
          </w:p>
        </w:tc>
        <w:tc>
          <w:tcPr>
            <w:tcW w:type="dxa" w:w="4680"/>
          </w:tcPr>
          <w:p>
            <w:r>
              <w:t>`pruebasK6/PedidoEspecial/smoke-test.js`, `load-test.js`, `stress-test.js`</w:t>
            </w:r>
          </w:p>
        </w:tc>
      </w:tr>
    </w:tbl>
    <w:p/>
    <w:p>
      <w:pPr>
        <w:pStyle w:val="Heading2"/>
      </w:pPr>
      <w:r>
        <w:t>Evidencias</w:t>
      </w:r>
    </w:p>
    <w:p>
      <w:r>
        <w:t>Los summaries JSON se guardan en target/k6.</w:t>
      </w:r>
    </w:p>
    <w:p>
      <w:pPr>
        <w:pStyle w:val="Heading2"/>
      </w:pPr>
      <w:r>
        <w:t>Criterios sugeridos</w:t>
      </w:r>
    </w:p>
    <w:p>
      <w:pPr>
        <w:pStyle w:val="ListBullet"/>
      </w:pPr>
      <w:r>
        <w:t>Sin errores HTTP 5xx.</w:t>
      </w:r>
    </w:p>
    <w:p>
      <w:pPr>
        <w:pStyle w:val="ListBullet"/>
      </w:pPr>
      <w:r>
        <w:t>Tasa de fallos menor a 1%.</w:t>
      </w:r>
    </w:p>
    <w:p>
      <w:pPr>
        <w:pStyle w:val="ListBullet"/>
      </w:pPr>
      <w:r>
        <w:t>Percentil 95 de respuestas bajo el umbral acordado para el servidor de pruebas.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