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Calibri" w:hAnsi="Calibri"/>
          <w:b/>
          <w:color w:val="0F766E"/>
          <w:sz w:val="20"/>
        </w:rPr>
        <w:t>TECHNICAL IMPLEMENTATION REPORT  |  FOCUS AREA C</w:t>
      </w:r>
    </w:p>
    <w:p>
      <w:pPr>
        <w:keepNext/>
        <w:spacing w:after="200"/>
        <w:jc w:val="center"/>
      </w:pPr>
      <w:r>
        <w:rPr>
          <w:rFonts w:ascii="Calibri" w:hAnsi="Calibri"/>
          <w:b/>
          <w:color w:val="203748"/>
          <w:sz w:val="56"/>
        </w:rPr>
        <w:t>BinSight Predictive</w:t>
        <w:br/>
      </w:r>
      <w:r>
        <w:rPr>
          <w:rFonts w:ascii="Calibri" w:hAnsi="Calibri"/>
          <w:b/>
          <w:color w:val="203748"/>
          <w:sz w:val="56"/>
        </w:rPr>
        <w:t>Collection Routing Subsystem</w:t>
      </w:r>
    </w:p>
    <w:p>
      <w:pPr>
        <w:spacing w:after="880"/>
        <w:jc w:val="center"/>
      </w:pPr>
      <w:r>
        <w:rPr>
          <w:rFonts w:ascii="Calibri" w:hAnsi="Calibri"/>
          <w:color w:val="1F4D78"/>
          <w:sz w:val="28"/>
        </w:rPr>
        <w:t>OpenStreetMap-based routing for a Subang Jaya pilot</w:t>
      </w:r>
    </w:p>
    <w:p>
      <w:pPr>
        <w:spacing w:after="440"/>
        <w:jc w:val="center"/>
      </w:pPr>
      <w:r>
        <w:rPr>
          <w:rFonts w:ascii="Calibri" w:hAnsi="Calibri"/>
          <w:color w:val="1A1A1A"/>
        </w:rPr>
        <w:t>Team MON BLUE  |  Southeast Asia Engineering Design Competition 2026</w:t>
      </w:r>
    </w:p>
    <w:p>
      <w:pPr>
        <w:shd w:val="clear" w:fill="F4F6F9"/>
        <w:spacing w:before="120" w:after="120" w:line="276" w:lineRule="auto"/>
        <w:ind w:left="936" w:right="936"/>
        <w:jc w:val="center"/>
      </w:pPr>
      <w:r>
        <w:rPr>
          <w:rFonts w:ascii="Calibri" w:hAnsi="Calibri"/>
          <w:b/>
          <w:color w:val="1F4D78"/>
          <w:sz w:val="21"/>
        </w:rPr>
        <w:t>SIMULATION LOCKED  |  FIELD VALIDATION PENDING</w:t>
      </w:r>
    </w:p>
    <w:p>
      <w:pPr>
        <w:spacing w:before="840"/>
        <w:jc w:val="center"/>
      </w:pPr>
      <w:r>
        <w:rPr>
          <w:rFonts w:ascii="Calibri" w:hAnsi="Calibri"/>
          <w:color w:val="68717A"/>
          <w:sz w:val="22"/>
        </w:rPr>
        <w:t>August 2026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color w:val="1A1A1A"/>
        </w:rPr>
        <w:t>Executive summary</w:t>
      </w:r>
    </w:p>
    <w:p>
      <w:r>
        <w:rPr>
          <w:rFonts w:ascii="Calibri" w:hAnsi="Calibri"/>
          <w:color w:val="1A1A1A"/>
        </w:rPr>
        <w:t>BinSight converts a complete 33-bin predictive snapshot into a safe operator decision and, when collection is required, a capacity-feasible route over OpenStreetMap-derived roads. The pilot represents 500 households and 20 commercial units using 33 Dutch-style 4.5 m³ underground bins at 11 sites. Each site has three genuinely co-located bins controlled by one ESP32. No extra bins, sites, or trucks were added during optimization.</w:t>
      </w:r>
    </w:p>
    <w:p>
      <w:r>
        <w:rPr>
          <w:rFonts w:ascii="Calibri" w:hAnsi="Calibri"/>
          <w:color w:val="1A1A1A"/>
        </w:rPr>
        <w:t>The implemented chain is: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three ultrasonic and three pressure/load channels are sampled by one ESP32;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a Raspberry Pi gateway validates, calibrates, stores, and exports readings;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noisy observations—not hidden simulated fill—enter the 48-hour forecaster and decision logic;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the operator receives </w:t>
      </w:r>
      <w:r>
        <w:rPr>
          <w:rFonts w:ascii="Consolas" w:hAnsi="Consolas"/>
          <w:color w:val="1F4D78"/>
          <w:sz w:val="19"/>
        </w:rPr>
        <w:t>COLLECTION_REQUIRED</w:t>
      </w:r>
      <w:r>
        <w:rPr>
          <w:rFonts w:ascii="Calibri" w:hAnsi="Calibri"/>
          <w:color w:val="1A1A1A"/>
        </w:rPr>
        <w:t xml:space="preserve">, </w:t>
      </w:r>
      <w:r>
        <w:rPr>
          <w:rFonts w:ascii="Consolas" w:hAnsi="Consolas"/>
          <w:color w:val="1F4D78"/>
          <w:sz w:val="19"/>
        </w:rPr>
        <w:t>INSPECTION_REQUIRED</w:t>
      </w:r>
      <w:r>
        <w:rPr>
          <w:rFonts w:ascii="Calibri" w:hAnsi="Calibri"/>
          <w:color w:val="1A1A1A"/>
        </w:rPr>
        <w:t xml:space="preserve">, or </w:t>
      </w:r>
      <w:r>
        <w:rPr>
          <w:rFonts w:ascii="Consolas" w:hAnsi="Consolas"/>
          <w:color w:val="1F4D78"/>
          <w:sz w:val="19"/>
        </w:rPr>
        <w:t>NO_COLLECTION_REQUIRED</w:t>
      </w:r>
      <w:r>
        <w:rPr>
          <w:rFonts w:ascii="Calibri" w:hAnsi="Calibri"/>
          <w:color w:val="1A1A1A"/>
        </w:rPr>
        <w:t xml:space="preserve"> with reasons;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selected bins are packed into at most two 9,000 kg daily trips and ordered by OR-Tools using cached OSRM road costs;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SimPy executes travel, service, unloading, and turnaround chronologically; and</w:t>
      </w:r>
    </w:p>
    <w:p>
      <w:pPr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the portal displays 11 consolidated site markers, road routes, and a mock truck replay.</w:t>
      </w:r>
    </w:p>
    <w:p>
      <w:r>
        <w:rPr>
          <w:rFonts w:ascii="Calibri" w:hAnsi="Calibri"/>
          <w:color w:val="1A1A1A"/>
        </w:rPr>
        <w:t>The earlier claim of 5.08% lower route distance was withdrawn. It came from an unfair day-zero fixed collection of empty bins. The corrected baseline first collects after its complete interval and both policies use the same three-day post-warm-up reporting rule. The final experiment reports base and stress scenarios separately and does not hide metrics where the smart policy is worse.</w:t>
      </w:r>
    </w:p>
    <w:p>
      <w:pPr>
        <w:shd w:val="clear" w:fill="F4F6F9"/>
        <w:spacing w:before="80" w:after="200" w:line="276" w:lineRule="auto"/>
        <w:ind w:left="317" w:right="317"/>
      </w:pPr>
      <w:r>
        <w:rPr>
          <w:rFonts w:ascii="Calibri" w:hAnsi="Calibri"/>
          <w:color w:val="1A1A1A"/>
        </w:rPr>
        <w:t>BinSight is decision support. Mock dispatch does not contact a vehicle, and simulation evidence is not measured municipal performance.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1. Scope and fixed design</w:t>
      </w:r>
    </w:p>
    <w:p>
      <w:r>
        <w:rPr>
          <w:rFonts w:ascii="Calibri" w:hAnsi="Calibri"/>
          <w:color w:val="1A1A1A"/>
        </w:rPr>
        <w:t>This report covers only the Focus Area C sensing-to-routing subsystem. It does not claim completion of the proposal's camera classifier or physical QR return station.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850"/>
        <w:gridCol w:w="6510"/>
      </w:tblGrid>
      <w:tr>
        <w:trPr>
          <w:cantSplit/>
          <w:tblHeader w:val="true"/>
        </w:trPr>
        <w:tc>
          <w:tcPr>
            <w:tcW w:type="dxa" w:w="285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Design item</w:t>
            </w:r>
          </w:p>
        </w:tc>
        <w:tc>
          <w:tcPr>
            <w:tcW w:type="dxa" w:w="651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Implemented value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Service population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500 households + 20 commercial units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Evaluation horizon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30 days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Underground bins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33 × 4.5 m³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Sites/controllers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11 sites; 1 ESP32 + 3 bins per site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Physical model unit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1 ESP32 + 3 instrumented bins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Depot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Provisional Batu Tiga/Subang Jaya point, 3.06192, 101.55272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Truck archetype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VDL Maxxum/UGS family, 22 m³ body assumption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Route payload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9,000 kg assumption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Daily trips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Maximum 2 across the whole calendar day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color w:val="1A1A1A"/>
        </w:rPr>
        <w:t xml:space="preserve">The 33-bin sizing follows </w:t>
      </w:r>
      <w:r>
        <w:rPr>
          <w:rFonts w:ascii="Consolas" w:hAnsi="Consolas"/>
          <w:color w:val="1F4D78"/>
          <w:sz w:val="19"/>
        </w:rPr>
        <w:t>SITING_PLAN.md</w:t>
      </w:r>
      <w:r>
        <w:rPr>
          <w:rFonts w:ascii="Calibri" w:hAnsi="Calibri"/>
          <w:color w:val="1A1A1A"/>
        </w:rPr>
        <w:t>:</w:t>
      </w:r>
    </w:p>
    <w:p>
      <w:r>
        <w:rPr>
          <w:rFonts w:ascii="Consolas" w:hAnsi="Consolas"/>
          <w:color w:val="1F4D78"/>
          <w:sz w:val="19"/>
        </w:rPr>
        <w:t>ceil(3,603.6 kg/day × 3 days × 1.25 reserve ÷ 1,296 kg/site) = 11 sites</w:t>
      </w:r>
    </w:p>
    <w:p>
      <w:r>
        <w:rPr>
          <w:rFonts w:ascii="Calibri" w:hAnsi="Calibri"/>
          <w:color w:val="1A1A1A"/>
        </w:rPr>
        <w:t xml:space="preserve">where a site has </w:t>
      </w:r>
      <w:r>
        <w:rPr>
          <w:rFonts w:ascii="Consolas" w:hAnsi="Consolas"/>
          <w:color w:val="1F4D78"/>
          <w:sz w:val="19"/>
        </w:rPr>
        <w:t>3 × 4.5 m³ × 120 kg/m³ × 80% = 1,296 kg</w:t>
      </w:r>
      <w:r>
        <w:rPr>
          <w:rFonts w:ascii="Calibri" w:hAnsi="Calibri"/>
          <w:color w:val="1A1A1A"/>
        </w:rPr>
        <w:t xml:space="preserve"> usable design capacity.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2. Sensor and predictive-data boundary</w:t>
      </w:r>
    </w:p>
    <w:p>
      <w:pPr>
        <w:pStyle w:val="Heading3"/>
        <w:keepNext/>
      </w:pPr>
      <w:r>
        <w:rPr>
          <w:rFonts w:ascii="Calibri" w:hAnsi="Calibri"/>
          <w:color w:val="1A1A1A"/>
        </w:rPr>
        <w:t>2.1 Controller message</w:t>
      </w:r>
    </w:p>
    <w:p>
      <w:r>
        <w:rPr>
          <w:rFonts w:ascii="Calibri" w:hAnsi="Calibri"/>
          <w:color w:val="1A1A1A"/>
        </w:rPr>
        <w:t>The ESP32 publishes one atomic JSON message for all three channels on:</w:t>
      </w:r>
    </w:p>
    <w:p>
      <w:pPr>
        <w:keepLines/>
        <w:shd w:val="clear" w:fill="F4F6F9"/>
        <w:spacing w:before="80" w:after="160" w:line="240" w:lineRule="auto"/>
        <w:ind w:left="259" w:right="259"/>
      </w:pPr>
      <w:r>
        <w:rPr>
          <w:rFonts w:ascii="Consolas" w:hAnsi="Consolas"/>
          <w:color w:val="1F4D78"/>
          <w:sz w:val="17"/>
        </w:rPr>
        <w:t>binsight/v1/telemetry/&lt;controller_id&gt;</w:t>
      </w:r>
    </w:p>
    <w:p>
      <w:r>
        <w:rPr>
          <w:rFonts w:ascii="Calibri" w:hAnsi="Calibri"/>
          <w:color w:val="1A1A1A"/>
        </w:rPr>
        <w:t>The firmware uses a 1,024-byte MQTT buffer. Its maximum tested three-bin JSON is 555 bytes and the complete packet is 616 bytes. Serialization length is checked; publication is attempted three times with backoff; up to four unsent messages remain in a bounded RAM queue; and logs identify failure stages.</w:t>
      </w:r>
    </w:p>
    <w:p>
      <w:r>
        <w:rPr>
          <w:rFonts w:ascii="Calibri" w:hAnsi="Calibri"/>
          <w:color w:val="1A1A1A"/>
        </w:rPr>
        <w:t>PubSubClient publishes at QoS 0. Retry/queue behavior reduces transient loss but does not provide broker acknowledgement or power-loss durability. A field system requiring QoS 1 must use a client with acknowledged publishing and retain gateway deduplication.</w:t>
      </w:r>
    </w:p>
    <w:p>
      <w:pPr>
        <w:pStyle w:val="Heading3"/>
        <w:keepNext/>
      </w:pPr>
      <w:r>
        <w:rPr>
          <w:rFonts w:ascii="Calibri" w:hAnsi="Calibri"/>
          <w:color w:val="1A1A1A"/>
        </w:rPr>
        <w:t>2.2 Route-input contract</w:t>
      </w:r>
    </w:p>
    <w:p>
      <w:r>
        <w:rPr>
          <w:rFonts w:ascii="Calibri" w:hAnsi="Calibri"/>
          <w:color w:val="1A1A1A"/>
        </w:rPr>
        <w:t>The external predictive AI supplies:</w:t>
      </w:r>
    </w:p>
    <w:p>
      <w:pPr>
        <w:keepLines/>
        <w:shd w:val="clear" w:fill="F4F6F9"/>
        <w:spacing w:before="80" w:after="160" w:line="240" w:lineRule="auto"/>
        <w:ind w:left="259" w:right="259"/>
      </w:pPr>
      <w:r>
        <w:rPr>
          <w:rFonts w:ascii="Consolas" w:hAnsi="Consolas"/>
          <w:color w:val="1F4D78"/>
          <w:sz w:val="17"/>
        </w:rPr>
        <w:t>timestamp,bin_id,fill_pct,weight_kg,time_to_overflow_hours,risk_level,confidence_flag</w:t>
      </w:r>
    </w:p>
    <w:p>
      <w:r>
        <w:rPr>
          <w:rFonts w:ascii="Calibri" w:hAnsi="Calibri"/>
          <w:color w:val="1A1A1A"/>
        </w:rPr>
        <w:t xml:space="preserve">Exactly one row is required for each </w:t>
      </w:r>
      <w:r>
        <w:rPr>
          <w:rFonts w:ascii="Consolas" w:hAnsi="Consolas"/>
          <w:color w:val="1F4D78"/>
          <w:sz w:val="19"/>
        </w:rPr>
        <w:t>UGB-001</w:t>
      </w:r>
      <w:r>
        <w:rPr>
          <w:rFonts w:ascii="Calibri" w:hAnsi="Calibri"/>
          <w:color w:val="1A1A1A"/>
        </w:rPr>
        <w:t xml:space="preserve"> through </w:t>
      </w:r>
      <w:r>
        <w:rPr>
          <w:rFonts w:ascii="Consolas" w:hAnsi="Consolas"/>
          <w:color w:val="1F4D78"/>
          <w:sz w:val="19"/>
        </w:rPr>
        <w:t>UGB-033</w:t>
      </w:r>
      <w:r>
        <w:rPr>
          <w:rFonts w:ascii="Calibri" w:hAnsi="Calibri"/>
          <w:color w:val="1A1A1A"/>
        </w:rPr>
        <w:t>. The shared timestamp must include a timezone, be no more than 12 hours old, and be no more than five minutes in the future. Ranges, duplicate/missing IDs, risk labels, confidence values, and sensor disagreement are validated.</w:t>
      </w:r>
    </w:p>
    <w:p>
      <w:r>
        <w:rPr>
          <w:rFonts w:ascii="Calibri" w:hAnsi="Calibri"/>
          <w:color w:val="1A1A1A"/>
        </w:rPr>
        <w:t>Missing sensor values may enter the degraded-data path, but missing predictive risk/time fields are rejected. A last-valid observation can be aged conservatively. If no trustworthy evidence exists, the result is inspection—not an invented safe zero or an invented full-bin truck load.</w:t>
      </w:r>
    </w:p>
    <w:p>
      <w:pPr>
        <w:pStyle w:val="Heading3"/>
        <w:keepNext/>
      </w:pPr>
      <w:r>
        <w:rPr>
          <w:rFonts w:ascii="Calibri" w:hAnsi="Calibri"/>
          <w:color w:val="1A1A1A"/>
        </w:rPr>
        <w:t>2.3 Three decisions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850"/>
        <w:gridCol w:w="6510"/>
      </w:tblGrid>
      <w:tr>
        <w:trPr>
          <w:cantSplit/>
          <w:tblHeader w:val="true"/>
        </w:trPr>
        <w:tc>
          <w:tcPr>
            <w:tcW w:type="dxa" w:w="285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Decision</w:t>
            </w:r>
          </w:p>
        </w:tc>
        <w:tc>
          <w:tcPr>
            <w:tcW w:type="dxa" w:w="651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Collection required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At least one trustworthy/current or emergency trigger requires a route; uncertainty remains visible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Inspection required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Data quality prevents a safe no-collection decision, but evidence does not justify automatic collection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No collection required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Snapshot is sufficiently trustworthy and no service trigger is active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color w:val="1A1A1A"/>
        </w:rPr>
        <w:t>Low-confidence urgent readings are never silently discarded. The route input retains them with a warning; the simulator allows only conservative emergency current/aged-fill evidence to override a low-confidence forecast.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3. Hidden state, observations, and forecast</w:t>
      </w:r>
    </w:p>
    <w:p>
      <w:r>
        <w:rPr>
          <w:rFonts w:ascii="Calibri" w:hAnsi="Calibri"/>
          <w:color w:val="1A1A1A"/>
        </w:rPr>
        <w:t>The simulation maintains physical mass privately. At each six-hour observation, a separately seeded model produces ultrasonic and load-cell values with random noise, per-bin bias, drift, missing readings, outliers, and disagreement. Both policies in a pair receive the same error realization.</w:t>
      </w:r>
    </w:p>
    <w:p>
      <w:r>
        <w:rPr>
          <w:rFonts w:ascii="Calibri" w:hAnsi="Calibri"/>
          <w:color w:val="1A1A1A"/>
        </w:rPr>
        <w:t>High-confidence observations receive a one-sided 95% margin (</w:t>
      </w:r>
      <w:r>
        <w:rPr>
          <w:rFonts w:ascii="Consolas" w:hAnsi="Consolas"/>
          <w:color w:val="1F4D78"/>
          <w:sz w:val="19"/>
        </w:rPr>
        <w:t>z = 1.645</w:t>
      </w:r>
      <w:r>
        <w:rPr>
          <w:rFonts w:ascii="Calibri" w:hAnsi="Calibri"/>
          <w:color w:val="1A1A1A"/>
        </w:rPr>
        <w:t>). A single available sensor uses a 7.5-point margin; general low-confidence/aged evidence uses 15 points. When both sensors are absent, a recent valid record is aged at 0.75 percentage points/hour plus its margin. With no valid record, inspection is required.</w:t>
      </w:r>
    </w:p>
    <w:p>
      <w:r>
        <w:rPr>
          <w:rFonts w:ascii="Calibri" w:hAnsi="Calibri"/>
          <w:color w:val="1A1A1A"/>
        </w:rPr>
        <w:t>The histogram gradient-boosting regressor uses observed fill/weight, confidence, observed history, allocation, and time cycles. Its target is hidden 48-hour fill growth. A 45-day synthetic pre-period is split chronologically: the last 20% is holdout. Automated leakage guards reject feature names indicating hidden/true/future/target state.</w:t>
      </w:r>
    </w:p>
    <w:p>
      <w:r>
        <w:rPr>
          <w:rFonts w:ascii="Calibri" w:hAnsi="Calibri"/>
          <w:color w:val="1A1A1A"/>
        </w:rPr>
        <w:t xml:space="preserve">The final model used 4,752 training rows and 1,188 chronological holdout rows. Its 48-hour MAE was </w:t>
      </w:r>
      <w:r>
        <w:rPr>
          <w:rFonts w:ascii="Calibri" w:hAnsi="Calibri"/>
          <w:b/>
          <w:color w:val="1A1A1A"/>
        </w:rPr>
        <w:t>2.484 percentage points</w:t>
      </w:r>
      <w:r>
        <w:rPr>
          <w:rFonts w:ascii="Calibri" w:hAnsi="Calibri"/>
          <w:color w:val="1A1A1A"/>
        </w:rPr>
        <w:t xml:space="preserve">, versus </w:t>
      </w:r>
      <w:r>
        <w:rPr>
          <w:rFonts w:ascii="Calibri" w:hAnsi="Calibri"/>
          <w:b/>
          <w:color w:val="1A1A1A"/>
        </w:rPr>
        <w:t>7.646</w:t>
      </w:r>
      <w:r>
        <w:rPr>
          <w:rFonts w:ascii="Calibri" w:hAnsi="Calibri"/>
          <w:color w:val="1A1A1A"/>
        </w:rPr>
        <w:t xml:space="preserve"> for the naive benchmark, a 67.52% synthetic improvement. This is generated-data software validation, not measured forecast accuracy.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4. Road locations and matrices</w:t>
      </w:r>
    </w:p>
    <w:p>
      <w:r>
        <w:rPr>
          <w:rFonts w:ascii="Calibri" w:hAnsi="Calibri"/>
          <w:color w:val="1A1A1A"/>
        </w:rPr>
        <w:t>OSRM runs over OpenStreetMap data. Its Table service returns duration and distance for every ordered pair of supplied coordinates. Distance is the length of the fastest route, not straight-line distance and not necessarily the geometrically shortest path.</w:t>
      </w:r>
    </w:p>
    <w:p>
      <w:r>
        <w:rPr>
          <w:rFonts w:ascii="Calibri" w:hAnsi="Calibri"/>
          <w:color w:val="1A1A1A"/>
        </w:rPr>
        <w:t>The service matrix begins as 12 × 12: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index 0: depot;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indices 1–11: service sites.</w:t>
      </w:r>
    </w:p>
    <w:p>
      <w:r>
        <w:rPr>
          <w:rFonts w:ascii="Calibri" w:hAnsi="Calibri"/>
          <w:color w:val="1A1A1A"/>
        </w:rPr>
        <w:t>It expands to 34 × 34 for individual-bin capacity decisions: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index 0: depot;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indices 1–33: bins.</w:t>
      </w:r>
    </w:p>
    <w:p>
      <w:r>
        <w:rPr>
          <w:rFonts w:ascii="Calibri" w:hAnsi="Calibri"/>
          <w:color w:val="1A1A1A"/>
        </w:rPr>
        <w:t xml:space="preserve">Each site's costs are repeated for its three co-located bins. This expansion is executable code in </w:t>
      </w:r>
      <w:r>
        <w:rPr>
          <w:rFonts w:ascii="Consolas" w:hAnsi="Consolas"/>
          <w:color w:val="1F4D78"/>
          <w:sz w:val="19"/>
        </w:rPr>
        <w:t>binsight/network.py</w:t>
      </w:r>
      <w:r>
        <w:rPr>
          <w:rFonts w:ascii="Calibri" w:hAnsi="Calibri"/>
          <w:color w:val="1A1A1A"/>
        </w:rPr>
        <w:t>; it does not move markers or create a fictional road. Same-site bin-to-bin road cost is zero because one truck stop/crane position serves the site.</w:t>
      </w:r>
    </w:p>
    <w:p>
      <w:r>
        <w:rPr>
          <w:rFonts w:ascii="Calibri" w:hAnsi="Calibri"/>
          <w:color w:val="1A1A1A"/>
        </w:rPr>
        <w:t>The matrices are vectors of numeric costs used by the optimizer. Road polylines are requested only for display/replay and cached separately. A geometry failure can therefore fall back to straight display segments without changing the solved stop order or reported matrix distance.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5. Collection selection</w:t>
      </w:r>
    </w:p>
    <w:p>
      <w:r>
        <w:rPr>
          <w:rFonts w:ascii="Calibri" w:hAnsi="Calibri"/>
          <w:color w:val="1A1A1A"/>
        </w:rPr>
        <w:t>The fixed baseline marks every bin due at 06:00 after each full three-day interval. It has no day-zero empty-bin sweep.</w:t>
      </w:r>
    </w:p>
    <w:p>
      <w:r>
        <w:rPr>
          <w:rFonts w:ascii="Calibri" w:hAnsi="Calibri"/>
          <w:color w:val="1A1A1A"/>
        </w:rPr>
        <w:t>The smart policy evaluates at 06:00 and 18:00. High/critical fill or predicted-overflow triggers become required candidates. Critical evidence inside the 20-hour horizon can override the usual 48-hour dispatch gap. Co-located siblings are considered next, followed by confident medium-risk bins whose addition stays within: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available truck capacity;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the soft 30 km route budget; and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no more than 5 km incremental road-route cost.</w:t>
      </w:r>
    </w:p>
    <w:p>
      <w:r>
        <w:rPr>
          <w:rFonts w:ascii="Calibri" w:hAnsi="Calibri"/>
          <w:color w:val="1A1A1A"/>
        </w:rPr>
        <w:t>The 5 km rule is not a radius around a critical bin. It compares the capacity-aware proxy route before and after adding one optional stop.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6. Capacity-constrained route solving</w:t>
      </w:r>
    </w:p>
    <w:p>
      <w:r>
        <w:rPr>
          <w:rFonts w:ascii="Calibri" w:hAnsi="Calibri"/>
          <w:color w:val="1A1A1A"/>
        </w:rPr>
        <w:t>Candidate priority is preserved while each demand is rounded upward exactly as OR-Tools will consume it. Preselection explicitly packs candidates into the remaining trips. This prevents a floating-point total from passing preselection and then failing the integer vehicle-capacity constraint.</w:t>
      </w:r>
    </w:p>
    <w:p>
      <w:r>
        <w:rPr>
          <w:rFonts w:ascii="Calibri" w:hAnsi="Calibri"/>
          <w:color w:val="1A1A1A"/>
        </w:rPr>
        <w:t>OR-Tools solves asymmetric depot tours with: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the cached 34 × 34 distance matrix;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a 9,000 kg payload per trip;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no more than two daily trips;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a 250 ms solve limit; and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a fixed departure cost encouraging consolidation.</w:t>
      </w:r>
    </w:p>
    <w:p>
      <w:r>
        <w:rPr>
          <w:rFonts w:ascii="Calibri" w:hAnsi="Calibri"/>
          <w:color w:val="1A1A1A"/>
        </w:rPr>
        <w:t xml:space="preserve">Every produced route starts and ends at </w:t>
      </w:r>
      <w:r>
        <w:rPr>
          <w:rFonts w:ascii="Consolas" w:hAnsi="Consolas"/>
          <w:color w:val="1F4D78"/>
          <w:sz w:val="19"/>
        </w:rPr>
        <w:t>DEPOT</w:t>
      </w:r>
      <w:r>
        <w:rPr>
          <w:rFonts w:ascii="Calibri" w:hAnsi="Calibri"/>
          <w:color w:val="1A1A1A"/>
        </w:rPr>
        <w:t>. If the solver returns no solution within the limit, a deterministic fallback exactly partitions bins into capacity-feasible buckets and orders each bucket by nearest road cost. Excess required bins are reported as unserved rather than silently dropped.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7. Chronological execution</w:t>
      </w:r>
    </w:p>
    <w:p>
      <w:r>
        <w:rPr>
          <w:rFonts w:ascii="Calibri" w:hAnsi="Calibri"/>
          <w:color w:val="1A1A1A"/>
        </w:rPr>
        <w:t>Routes are not instantaneous. The minute-level SimPy process performs: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travel using OSRM duration and a departure-time traffic multiplier;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eight minutes of service at each bin;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emptying only at service completion;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20 minutes of depot unloading; and</w:t>
      </w:r>
    </w:p>
    <w:p>
      <w:pPr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10 minutes of turnaround before a later trip.</w:t>
      </w:r>
    </w:p>
    <w:p>
      <w:r>
        <w:rPr>
          <w:rFonts w:ascii="Calibri" w:hAnsi="Calibri"/>
          <w:color w:val="1A1A1A"/>
        </w:rPr>
        <w:t>Waste generation continues during every activity. Overflow can therefore occur while a truck is en route or collecting. The two-trip count is shared by morning and evening; if a trip must wait for the next day, that wait is retained in the event timeline. Trips unfinished at the 30-day boundary are reported.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8. Fuel and CO₂</w:t>
      </w:r>
    </w:p>
    <w:p>
      <w:r>
        <w:rPr>
          <w:rFonts w:ascii="Calibri" w:hAnsi="Calibri"/>
          <w:color w:val="1A1A1A"/>
        </w:rPr>
        <w:t>Total fuel is the sum of: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850"/>
        <w:gridCol w:w="6510"/>
      </w:tblGrid>
      <w:tr>
        <w:trPr>
          <w:cantSplit/>
          <w:tblHeader w:val="true"/>
        </w:trPr>
        <w:tc>
          <w:tcPr>
            <w:tcW w:type="dxa" w:w="285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Component</w:t>
            </w:r>
          </w:p>
        </w:tc>
        <w:tc>
          <w:tcPr>
            <w:tcW w:type="dxa" w:w="651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Prototype formula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Base driving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Road km × 0.45 L/km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Traffic penalty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Base driving × configured time-band increment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Payload penalty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Up to 15% of base fuel at full payload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Collection idle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Service hours × 3.0 L/hour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Depot idle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Unload/turnaround idle hours × 3.0 L/hour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color w:val="1A1A1A"/>
        </w:rPr>
        <w:t>Tailpipe CO₂ is fuel × 2.68 kg/L. The US EPA gives 10,180 g CO₂ per US gallon of diesel (about 2.69 kg/L), so 2.68 is a close prototype approximation. All fuel-performance values require real truck calibration.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9. Map and mock tracking</w:t>
      </w:r>
    </w:p>
    <w:p>
      <w:r>
        <w:rPr>
          <w:rFonts w:ascii="Calibri" w:hAnsi="Calibri"/>
          <w:color w:val="1A1A1A"/>
        </w:rPr>
        <w:t xml:space="preserve">All maps use 11 consolidated markers. Each popup lists the three bin IDs and their fill, weight, time to overflow, risk, confidence, decision reason, and state. The attention badge shows </w:t>
      </w:r>
      <w:r>
        <w:rPr>
          <w:rFonts w:ascii="Consolas" w:hAnsi="Consolas"/>
          <w:color w:val="1F4D78"/>
          <w:sz w:val="19"/>
        </w:rPr>
        <w:t>n/3</w:t>
      </w:r>
      <w:r>
        <w:rPr>
          <w:rFonts w:ascii="Calibri" w:hAnsi="Calibri"/>
          <w:color w:val="1A1A1A"/>
        </w:rPr>
        <w:t>; the highest-priority state determines the marker style. No visual offset is applied.</w:t>
      </w:r>
    </w:p>
    <w:p>
      <w:r>
        <w:rPr>
          <w:rFonts w:ascii="Calibri" w:hAnsi="Calibri"/>
          <w:color w:val="1A1A1A"/>
        </w:rPr>
        <w:t>The map is restricted to the Subang Jaya pilot bounds, zoom 13–18, no tile wrapping, with a reset control and switchable route/site/truck layers. Smart routes use a cyan line with dark underlay; fixed routes use a restrained dashed comparison.</w:t>
      </w:r>
    </w:p>
    <w:p>
      <w:r>
        <w:rPr>
          <w:rFonts w:ascii="Calibri" w:hAnsi="Calibri"/>
          <w:color w:val="1A1A1A"/>
        </w:rPr>
        <w:t>Mock tracking converts the representative route timeline and geometry into interpolated truck frames. The truck moves during travel and pauses during service/unloading/turnaround. A site becomes completed only after service completion. Play/pause, reset, timeline, and speed controls operate locally; reduced-motion mode removes pulsing animation.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100697"/>
            <wp:docPr id="1" name="Picture 1" descr="Representative BinSight route map for Subang Jaya" title="Representative BinSight route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map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0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/>
          <w:b/>
          <w:color w:val="1A1A1A"/>
        </w:rPr>
        <w:t>Figure 1.</w:t>
      </w:r>
      <w:r>
        <w:rPr>
          <w:rFonts w:ascii="Calibri" w:hAnsi="Calibri"/>
          <w:color w:val="1A1A1A"/>
        </w:rPr>
        <w:t xml:space="preserve"> Representative simulation route. Coordinates are planning anchors, not construction-ready locations.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10. Experiment and statistical analysis</w:t>
      </w:r>
    </w:p>
    <w:p>
      <w:r>
        <w:rPr>
          <w:rFonts w:ascii="Calibri" w:hAnsi="Calibri"/>
          <w:color w:val="1A1A1A"/>
        </w:rPr>
        <w:t>Thirty paired replications are run for each scenario, giving 300 policy runs: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850"/>
        <w:gridCol w:w="6510"/>
      </w:tblGrid>
      <w:tr>
        <w:trPr>
          <w:cantSplit/>
          <w:tblHeader w:val="true"/>
        </w:trPr>
        <w:tc>
          <w:tcPr>
            <w:tcW w:type="dxa" w:w="285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Scenario</w:t>
            </w:r>
          </w:p>
        </w:tc>
        <w:tc>
          <w:tcPr>
            <w:tcW w:type="dxa" w:w="651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Configured change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Base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Declared demand, traffic, sensing, and capacity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High demand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Arrivals × 1.45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Traffic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Traffic duration/fuel effect × 1.35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Sensor failure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18% missing + 8% outlier probability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Truck capacity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Capacity × 0.65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color w:val="1A1A1A"/>
        </w:rPr>
        <w:t>Fixed and smart policies share arrivals and observation noise within every pair. Raw metrics use all 30 days; post-warm-up metrics remove the first three days for both. Scenario results remain separate.</w:t>
      </w:r>
    </w:p>
    <w:p>
      <w:r>
        <w:rPr>
          <w:rFonts w:ascii="Calibri" w:hAnsi="Calibri"/>
          <w:color w:val="1A1A1A"/>
        </w:rPr>
        <w:t>For lower-is-better metrics, beneficial effect = fixed − smart. For higher-is-better metrics, beneficial effect = smart − fixed. Positive is favorable. Each effect includes a 95% Student-t interval and a 19,999-draw paired sign-flip p-value. These measure Monte Carlo uncertainty under configured assumptions only.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11. Locked results and interpretation</w:t>
      </w:r>
    </w:p>
    <w:p>
      <w:r>
        <w:rPr>
          <w:rFonts w:ascii="Calibri" w:hAnsi="Calibri"/>
          <w:color w:val="1A1A1A"/>
        </w:rPr>
        <w:t>The untouched final seed block begins at base +1,310,000 for arrivals and +1,320,000 for sensors. Artifacts contain 300 policy runs, 30 pairs per scenario, and 150 seed records.</w:t>
      </w:r>
    </w:p>
    <w:p>
      <w:r>
        <w:rPr>
          <w:rFonts w:ascii="Calibri" w:hAnsi="Calibri"/>
          <w:color w:val="1A1A1A"/>
        </w:rPr>
        <w:t>Primary equal three-day post-warm-up base means: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200"/>
        <w:gridCol w:w="1700"/>
        <w:gridCol w:w="1900"/>
        <w:gridCol w:w="3560"/>
      </w:tblGrid>
      <w:tr>
        <w:trPr>
          <w:cantSplit/>
          <w:tblHeader w:val="true"/>
        </w:trPr>
        <w:tc>
          <w:tcPr>
            <w:tcW w:type="dxa" w:w="220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Metric</w:t>
            </w:r>
          </w:p>
        </w:tc>
        <w:tc>
          <w:tcPr>
            <w:tcW w:type="dxa" w:w="170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Fixed</w:t>
            </w:r>
          </w:p>
        </w:tc>
        <w:tc>
          <w:tcPr>
            <w:tcW w:type="dxa" w:w="190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Smart</w:t>
            </w:r>
          </w:p>
        </w:tc>
        <w:tc>
          <w:tcPr>
            <w:tcW w:type="dxa" w:w="356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Overflow incidents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0.000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0.067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Rare smart incidents; paired interval includes zero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Spilled waste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0.000 kg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0.755 kg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Paired interval includes zero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Road distance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511.730 km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633.448 km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 xml:space="preserve">Smart 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23.79% worse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; p&lt;0.001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Fuel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413.323 L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491.458 L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 xml:space="preserve">Smart 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18.90% worse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; p&lt;0.001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Tailpipe CO₂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1,107.706 kg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1,317.108 kg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 xml:space="preserve">Smart 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18.90% worse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; p&lt;0.001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Trips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18.000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21.167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 xml:space="preserve">Smart 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17.59% worse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; p&lt;0.001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Stops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297.000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309.600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 xml:space="preserve">Smart 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4.24% worse</w:t>
            </w:r>
            <w:r>
              <w:rPr>
                <w:rFonts w:ascii="Calibri" w:hAnsi="Calibri"/>
                <w:b w:val="0"/>
                <w:color w:val="1A1A1A"/>
                <w:sz w:val="18"/>
              </w:rPr>
              <w:t>; p&lt;0.001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Low-fill pickups</w:t>
            </w:r>
          </w:p>
        </w:tc>
        <w:tc>
          <w:tcPr>
            <w:tcW w:type="dxa" w:w="1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0.567</w:t>
            </w:r>
          </w:p>
        </w:tc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72.033</w:t>
            </w:r>
          </w:p>
        </w:tc>
        <w:tc>
          <w:tcPr>
            <w:tcW w:type="dxa" w:w="35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Smart made 71.467 more; p&lt;0.001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color w:val="1A1A1A"/>
        </w:rPr>
        <w:t>The beneficial distance effect (fixed − smart) was -121.719 km (95% CI -138.773 to -104.664); fuel was -78.135 L (95% CI -88.962 to -67.308). Normal-demand fuel savings are therefore not supported.</w:t>
      </w:r>
    </w:p>
    <w:p>
      <w:r>
        <w:rPr>
          <w:rFonts w:ascii="Calibri" w:hAnsi="Calibri"/>
          <w:color w:val="1A1A1A"/>
        </w:rPr>
        <w:t>Stress post-warm-up means show a different safety/cost trade-off: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1800"/>
        <w:gridCol w:w="2600"/>
        <w:gridCol w:w="1800"/>
        <w:gridCol w:w="3160"/>
      </w:tblGrid>
      <w:tr>
        <w:trPr>
          <w:cantSplit/>
          <w:tblHeader w:val="true"/>
        </w:trPr>
        <w:tc>
          <w:tcPr>
            <w:tcW w:type="dxa" w:w="180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Scenario</w:t>
            </w:r>
          </w:p>
        </w:tc>
        <w:tc>
          <w:tcPr>
            <w:tcW w:type="dxa" w:w="260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Overflow fixed → smart</w:t>
            </w:r>
          </w:p>
        </w:tc>
        <w:tc>
          <w:tcPr>
            <w:tcW w:type="dxa" w:w="180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Distance fixed → smart</w:t>
            </w:r>
          </w:p>
        </w:tc>
        <w:tc>
          <w:tcPr>
            <w:tcW w:type="dxa" w:w="316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8"/>
              </w:rPr>
            </w:r>
            <w:r>
              <w:rPr>
                <w:rFonts w:ascii="Calibri" w:hAnsi="Calibri"/>
                <w:b/>
                <w:color w:val="1A1A1A"/>
                <w:sz w:val="18"/>
              </w:rPr>
              <w:t>Fuel fixed → smart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High demand ×1.45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62.667 → 2.733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511.080 → 860.166 km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415.874 → 661.606 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Traffic ×1.35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0.000 → 0.133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511.760 → 632.777 km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505.581 → 610.646 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Sensor failure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0.000 → 0.167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511.431 → 1,190.298 km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413.039 → 832.330 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Truck capacity ×0.65</w:t>
            </w:r>
          </w:p>
        </w:tc>
        <w:tc>
          <w:tcPr>
            <w:tcW w:type="dxa" w:w="26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7.133 → 0.100</w:t>
            </w:r>
          </w:p>
        </w:tc>
        <w:tc>
          <w:tcPr>
            <w:tcW w:type="dxa" w:w="1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552.411 → 731.525 km</w:t>
            </w:r>
          </w:p>
        </w:tc>
        <w:tc>
          <w:tcPr>
            <w:tcW w:type="dxa" w:w="31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8"/>
              </w:rPr>
            </w:r>
            <w:r>
              <w:rPr>
                <w:rFonts w:ascii="Calibri" w:hAnsi="Calibri"/>
                <w:b w:val="0"/>
                <w:color w:val="1A1A1A"/>
                <w:sz w:val="18"/>
              </w:rPr>
              <w:t>438.026 → 550.231 L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color w:val="1A1A1A"/>
        </w:rPr>
        <w:t>Smart reduced high-demand overflow by 95.64% and reduced-capacity overflow by 98.60%, but it consumed substantially more distance/fuel in every scenario. Under reduced capacity it also cut unserved required bins from 9.900 to 0.633. Under sensor failure it did not beat fixed safety and produced excessive inspection/routing activity.</w:t>
      </w:r>
    </w:p>
    <w:p>
      <w:r>
        <w:rPr>
          <w:rFonts w:ascii="Calibri" w:hAnsi="Calibri"/>
          <w:color w:val="1A1A1A"/>
        </w:rPr>
        <w:t xml:space="preserve">The implemented smart policy is therefore an </w:t>
      </w:r>
      <w:r>
        <w:rPr>
          <w:rFonts w:ascii="Calibri" w:hAnsi="Calibri"/>
          <w:b/>
          <w:color w:val="1A1A1A"/>
        </w:rPr>
        <w:t>emergency-capacity decision-support candidate</w:t>
      </w:r>
      <w:r>
        <w:rPr>
          <w:rFonts w:ascii="Calibri" w:hAnsi="Calibri"/>
          <w:color w:val="1A1A1A"/>
        </w:rPr>
        <w:t>, not a routine replacement. A future field-calibrated hybrid should retain fixed service in a validated normal regime and activate predictive emergency routing only when a verified demand/capacity state warrants the cost.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12. Verification</w:t>
      </w:r>
    </w:p>
    <w:p>
      <w:r>
        <w:rPr>
          <w:rFonts w:ascii="Calibri" w:hAnsi="Calibri"/>
          <w:color w:val="1A1A1A"/>
        </w:rPr>
        <w:t>Forty-eight automated tests cover configuration, siting, sensors, leakage, firmware payload size, safe input states, routing/capacity, chronology, fuel, statistics, map consolidation/bounds, tracking, and pipeline scenarios.</w:t>
      </w:r>
    </w:p>
    <w:p>
      <w:r>
        <w:rPr>
          <w:rFonts w:ascii="Calibri" w:hAnsi="Calibri"/>
          <w:color w:val="1A1A1A"/>
        </w:rPr>
        <w:t>Browser QA covers: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route-input demo and local mock dispatch;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desktop 1440×900, tablet 768×1024, and mobile 390×844 without horizontal overflow;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exactly 11 site markers and three popup rows per site;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map bounds, zoom 13–18, no wrap, reset, and route containment;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truck movement, pause/resume, completion timing, and reset; and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reduced-motion behavior with zero browser console/page errors.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13. Known limitations and next work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Inputs and outcomes are synthetic; sensor/vehicle parameters are not field calibrated.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Coordinates are preliminary and require permission, utility, access, drainage, flood, and crane-safety surveys.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The public map/router stack is prototype infrastructure without an SLA; production should use an appropriate provider or self-hosted Malaysian extract.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MQTT publication is QoS 0 and the ESP32 queue is volatile.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Mock dispatch/tracking has no authentication, driver acknowledgement, GPS, cancellation, or municipal API.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Severe sensor failure may protect overflow at the cost of inspections and extra collection; an operator inspection workflow is required.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The current smart policy is not an automatic replacement for the fixed schedule unless field validation proves the required safety/cost trade-off.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>Competition-wide gaps remain: physical build/photos, measured power, materials statement, BOM/receipts, cost-benefit, city-scale budget, deck/video, and proposal consistency.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14. UN Sustainable Development Goal alignment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b/>
          <w:color w:val="1A1A1A"/>
        </w:rPr>
        <w:t>SDG 11 — Sustainable Cities and Communities, Target 11.6.</w:t>
      </w:r>
      <w:r>
        <w:rPr>
          <w:rFonts w:ascii="Calibri" w:hAnsi="Calibri"/>
          <w:color w:val="1A1A1A"/>
        </w:rPr>
        <w:t xml:space="preserve"> BinSight models municipal-waste collection capacity and overflow risk. The high-demand and reduced-capacity scenarios show how predictive routing could support service resilience, but the result is synthetic and does not establish a measured reduction in Subang Jaya's environmental impact.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b/>
          <w:color w:val="1A1A1A"/>
        </w:rPr>
        <w:t>SDG 13 — Climate Action, Target 13.2.</w:t>
      </w:r>
      <w:r>
        <w:rPr>
          <w:rFonts w:ascii="Calibri" w:hAnsi="Calibri"/>
          <w:color w:val="1A1A1A"/>
        </w:rPr>
        <w:t xml:space="preserve"> The prototype includes route distance, decomposed fuel, and tailpipe CO₂ in collection decisions and evaluation. The corrected normal-demand result used more fuel than fixed service, so the climate-aligned next step is a field-calibrated hybrid policy—not a claim that the present smart policy already cuts emissions.</w:t>
      </w:r>
    </w:p>
    <w:p>
      <w:r>
        <w:rPr>
          <w:rFonts w:ascii="Calibri" w:hAnsi="Calibri"/>
          <w:color w:val="1A1A1A"/>
        </w:rPr>
        <w:t>These mappings describe intended engineering contribution and evaluation criteria. Field kilometres, litres, emissions, overflow, and service outcomes are required before claiming real SDG impact.</w:t>
      </w:r>
    </w:p>
    <w:p>
      <w:pPr>
        <w:pStyle w:val="Heading2"/>
        <w:keepNext/>
      </w:pPr>
      <w:r>
        <w:rPr>
          <w:rFonts w:ascii="Calibri" w:hAnsi="Calibri"/>
          <w:color w:val="1A1A1A"/>
        </w:rPr>
        <w:t>15. Implementation map</w:t>
      </w:r>
    </w:p>
    <w:tbl>
      <w:tblPr>
        <w:tblStyle w:val="TableGrid"/>
        <w:tblW w:type="dxa" w:w="9360"/>
        <w:jc w:val="left"/>
        <w:tblInd w:w="120" w:type="dxa"/>
        <w:tblLayout w:type="fixed"/>
        <w:tblLook w:firstColumn="1" w:firstRow="1" w:lastColumn="0" w:lastRow="0" w:noHBand="0" w:noVBand="1" w:val="04A0"/>
      </w:tblPr>
      <w:tblGrid>
        <w:gridCol w:w="2850"/>
        <w:gridCol w:w="6510"/>
      </w:tblGrid>
      <w:tr>
        <w:trPr>
          <w:cantSplit/>
          <w:tblHeader w:val="true"/>
        </w:trPr>
        <w:tc>
          <w:tcPr>
            <w:tcW w:type="dxa" w:w="285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File</w:t>
            </w:r>
          </w:p>
        </w:tc>
        <w:tc>
          <w:tcPr>
            <w:tcW w:type="dxa" w:w="6510"/>
            <w:shd w:val="clear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A1A1A"/>
                <w:sz w:val="19"/>
              </w:rPr>
            </w:r>
            <w:r>
              <w:rPr>
                <w:rFonts w:ascii="Calibri" w:hAnsi="Calibri"/>
                <w:b/>
                <w:color w:val="1A1A1A"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config.json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All pilot, sensor, operations, fuel, traffic, map, and stress assumptions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binsight/observations.py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Hidden-to-observed sensor model and leakage guard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binsight/forecast.py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Observed-feature 48-hour forecaster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binsight/dispatch.py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External snapshot validation, three-state decision, audit, mock dispatch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binsight/network.py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OSRM service/duration matrices and geometry cache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binsight/routing.py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Preselection, OR-Tools, exact fallback, route proxy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binsight/simulation.py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Minute-level policy and trip execution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binsight/fuel.py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Traffic, payload, driving, and idle fuel components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binsight/maps.py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Consolidated markers, routes, bounds, and tracking HTML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binsight/tracking.py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Timeline manifest and truck interpolation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app.py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Operator portal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firmware/esp32_binsight/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Three-bin controller firmware and payload harness</w:t>
            </w:r>
          </w:p>
        </w:tc>
      </w:tr>
      <w:tr>
        <w:trPr>
          <w:cantSplit/>
        </w:trPr>
        <w:tc>
          <w:tcPr>
            <w:tcW w:type="dxa" w:w="28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artifacts/</w:t>
            </w:r>
          </w:p>
        </w:tc>
        <w:tc>
          <w:tcPr>
            <w:tcW w:type="dxa" w:w="65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1A1A1A"/>
                <w:sz w:val="19"/>
              </w:rPr>
            </w:r>
            <w:r>
              <w:rPr>
                <w:rFonts w:ascii="Calibri" w:hAnsi="Calibri"/>
                <w:b w:val="0"/>
                <w:color w:val="1A1A1A"/>
                <w:sz w:val="19"/>
              </w:rPr>
              <w:t>Locked forecasts, metrics, events, routes, seeds, and provenance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ascii="Calibri" w:hAnsi="Calibri"/>
          <w:color w:val="1A1A1A"/>
        </w:rPr>
        <w:t>16. Sources and assumption boundary</w:t>
      </w:r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MBSJ Voluntary Local Review 2021: </w:t>
      </w:r>
      <w:hyperlink r:id="rId12">
        <w:r>
          <w:rPr>
            <w:color w:val="2E74B5"/>
            <w:u w:val="single"/>
          </w:rPr>
          <w:t>https://www.mbsj.gov.my/sites/default/files/Subang%20Jaya%20Voluntary%20Local%20Review%202021.pdf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DOSM MyCensus 2020 administrative-district findings: </w:t>
      </w:r>
      <w:hyperlink r:id="rId13">
        <w:r>
          <w:rPr>
            <w:color w:val="2E74B5"/>
            <w:u w:val="single"/>
          </w:rPr>
          <w:t>https://www.dosm.gov.my/uploads/publications/20221018120328.pdf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VDL UGC underground system: </w:t>
      </w:r>
      <w:hyperlink r:id="rId14">
        <w:r>
          <w:rPr>
            <w:color w:val="2E74B5"/>
            <w:u w:val="single"/>
          </w:rPr>
          <w:t>https://www.vdltranslift.nl/en/products/crane-collection-vehicles/underground-bin-system-ugc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VDL Maxxum: </w:t>
      </w:r>
      <w:hyperlink r:id="rId15">
        <w:r>
          <w:rPr>
            <w:color w:val="2E74B5"/>
            <w:u w:val="single"/>
          </w:rPr>
          <w:t>https://www.vdltranslift.nl/en/products/sideloader-collection-vehicles/sideloader-maxxum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OSRM HTTP API: </w:t>
      </w:r>
      <w:hyperlink r:id="rId16">
        <w:r>
          <w:rPr>
            <w:color w:val="2E74B5"/>
            <w:u w:val="single"/>
          </w:rPr>
          <w:t>https://project-osrm.org/docs/v26.4.0/api/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OpenStreetMap tile policy: </w:t>
      </w:r>
      <w:hyperlink r:id="rId17">
        <w:r>
          <w:rPr>
            <w:color w:val="2E74B5"/>
            <w:u w:val="single"/>
          </w:rPr>
          <w:t>https://operations.osmfoundation.org/policies/tiles/</w:t>
        </w:r>
      </w:hyperlink>
    </w:p>
    <w:p>
      <w:pPr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Calibri" w:hAnsi="Calibri"/>
          <w:color w:val="1A1A1A"/>
        </w:rPr>
        <w:t xml:space="preserve">US EPA diesel CO₂ reference: </w:t>
      </w:r>
      <w:hyperlink r:id="rId18">
        <w:r>
          <w:rPr>
            <w:color w:val="2E74B5"/>
            <w:u w:val="single"/>
          </w:rPr>
          <w:t>https://www.epa.gov/energy/greenhouse-gas-equivalencies-calculator-calculations-and-references</w:t>
        </w:r>
      </w:hyperlink>
    </w:p>
    <w:p>
      <w:r>
        <w:rPr>
          <w:rFonts w:ascii="Calibri" w:hAnsi="Calibri"/>
          <w:color w:val="1A1A1A"/>
        </w:rPr>
        <w:t>Waste density, commercial generation, truck payload, base fuel rate, traffic multipliers, payload penalty, idle rate, service time, compaction, and preliminary coordinates remain prototype assumptions until measured locally.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8717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8717A"/>
        <w:sz w:val="18"/>
      </w:rPr>
      <w:t>BinSight  |  Predictive Collection Routing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suff w:val="tab"/>
      <w:lvlText w:val="•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suff w:val="tab"/>
      <w:lvlText w:val="%1."/>
      <w:pPr>
        <w:tabs>
          <w:tab w:val="num" w:pos="720"/>
        </w:tabs>
        <w:spacing w:after="160" w:line="280" w:lineRule="auto"/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160"/>
    </w:pPr>
    <w:rPr>
      <w:rFonts w:ascii="Calibri" w:hAnsi="Calibri"/>
      <w:b/>
      <w:bCs/>
      <w:i/>
      <w:color w:val="6871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mbsj.gov.my/sites/default/files/Subang%20Jaya%20Voluntary%20Local%20Review%202021.pdf" TargetMode="External"/><Relationship Id="rId13" Type="http://schemas.openxmlformats.org/officeDocument/2006/relationships/hyperlink" Target="https://www.dosm.gov.my/uploads/publications/20221018120328.pdf" TargetMode="External"/><Relationship Id="rId14" Type="http://schemas.openxmlformats.org/officeDocument/2006/relationships/hyperlink" Target="https://www.vdltranslift.nl/en/products/crane-collection-vehicles/underground-bin-system-ugc" TargetMode="External"/><Relationship Id="rId15" Type="http://schemas.openxmlformats.org/officeDocument/2006/relationships/hyperlink" Target="https://www.vdltranslift.nl/en/products/sideloader-collection-vehicles/sideloader-maxxum" TargetMode="External"/><Relationship Id="rId16" Type="http://schemas.openxmlformats.org/officeDocument/2006/relationships/hyperlink" Target="https://project-osrm.org/docs/v26.4.0/api/" TargetMode="External"/><Relationship Id="rId17" Type="http://schemas.openxmlformats.org/officeDocument/2006/relationships/hyperlink" Target="https://operations.osmfoundation.org/policies/tiles/" TargetMode="External"/><Relationship Id="rId18" Type="http://schemas.openxmlformats.org/officeDocument/2006/relationships/hyperlink" Target="https://www.epa.gov/energy/greenhouse-gas-equivalencies-calculator-calculations-an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BinSight Predictive Collection Routing Subsystem</dc:title>
  <dc:subject>Focus Area C routing implementation report</dc:subject>
  <dc:creator>Team MON BLUE</dc:creator>
  <cp:keywords>BinSight, routing, OpenStreetMap, OSRM, OR-Tools, Subang Jaya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