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80" w:after="120"/>
        <w:jc w:val="center"/>
      </w:pPr>
      <w:r>
        <w:rPr>
          <w:rFonts w:ascii="Arial" w:hAnsi="Arial"/>
          <w:b/>
          <w:color w:val="020817"/>
          <w:sz w:val="84"/>
        </w:rPr>
        <w:t>BinSight</w:t>
      </w:r>
    </w:p>
    <w:p>
      <w:pPr>
        <w:spacing w:after="200"/>
        <w:jc w:val="center"/>
      </w:pPr>
      <w:r>
        <w:rPr>
          <w:rFonts w:ascii="Arial" w:hAnsi="Arial"/>
          <w:b/>
          <w:color w:val="00A7B5"/>
          <w:sz w:val="28"/>
        </w:rPr>
        <w:t>Smart waste sensing, recycling-return validation and route simulation</w:t>
      </w:r>
    </w:p>
    <w:p>
      <w:pPr>
        <w:jc w:val="center"/>
      </w:pPr>
      <w:r>
        <w:rPr>
          <w:rFonts w:ascii="Arial" w:hAnsi="Arial"/>
          <w:b/>
          <w:color w:val="061B2E"/>
          <w:sz w:val="24"/>
        </w:rPr>
        <w:t>Team: MON BLUE</w:t>
      </w:r>
    </w:p>
    <w:p>
      <w:pPr>
        <w:spacing w:after="0" w:line="259" w:lineRule="auto"/>
        <w:jc w:val="center"/>
      </w:pPr>
      <w:r>
        <w:rPr>
          <w:rFonts w:ascii="Arial" w:hAnsi="Arial"/>
          <w:b/>
          <w:color w:val="344054"/>
          <w:sz w:val="18"/>
        </w:rPr>
        <w:t>Three sensor bins | QR return station | Local decision hub | Fixed-vs-priority route simulation</w:t>
      </w:r>
    </w:p>
    <w:p>
      <w:r>
        <w:br w:type="page"/>
      </w:r>
    </w:p>
    <w:p>
      <w:pPr>
        <w:sectPr>
          <w:headerReference w:type="default" r:id="rId9"/>
          <w:pgSz w:w="11906" w:h="16838"/>
          <w:pgMar w:top="765" w:right="879" w:bottom="567" w:left="879" w:header="255" w:footer="720" w:gutter="0"/>
          <w:cols w:space="720"/>
          <w:docGrid w:linePitch="360"/>
        </w:sectPr>
      </w:pPr>
    </w:p>
    <w:p>
      <w:pPr>
        <w:spacing w:before="220" w:after="120"/>
      </w:pPr>
      <w:r>
        <w:rPr>
          <w:rFonts w:ascii="Arial" w:hAnsi="Arial"/>
          <w:b/>
          <w:color w:val="101828"/>
          <w:sz w:val="32"/>
        </w:rPr>
        <w:t>Engineering Proposal</w:t>
      </w:r>
    </w:p>
    <w:p>
      <w:pPr>
        <w:spacing w:before="220" w:after="120"/>
        <w:pBdr>
          <w:bottom w:val="single" w:sz="8" w:space="3" w:color="007481"/>
        </w:pBdr>
      </w:pPr>
      <w:r>
        <w:rPr>
          <w:rFonts w:ascii="Arial" w:hAnsi="Arial"/>
          <w:b/>
          <w:color w:val="007481"/>
          <w:sz w:val="24"/>
        </w:rPr>
        <w:t>Problem Statement</w:t>
      </w:r>
    </w:p>
    <w:p>
      <w:pPr>
        <w:spacing w:after="100" w:line="259" w:lineRule="auto"/>
      </w:pPr>
      <w:r>
        <w:rPr>
          <w:rFonts w:ascii="Arial" w:hAnsi="Arial"/>
          <w:b w:val="0"/>
          <w:color w:val="101828"/>
          <w:sz w:val="20"/>
        </w:rPr>
        <w:t>Collection crews still follow fixed routes, causing them to empty underfilled bins while high-use sites overflow. This wastes fuel, increases collection emissions, and leaves operators without real-time visibility into which bins need urgent service.</w:t>
      </w:r>
    </w:p>
    <w:p>
      <w:pPr>
        <w:spacing w:before="220" w:after="120"/>
        <w:pBdr>
          <w:bottom w:val="single" w:sz="8" w:space="3" w:color="006DAE"/>
        </w:pBdr>
      </w:pPr>
      <w:r>
        <w:rPr>
          <w:rFonts w:ascii="Arial" w:hAnsi="Arial"/>
          <w:b/>
          <w:color w:val="006DAE"/>
          <w:sz w:val="24"/>
        </w:rPr>
        <w:t>Proposed Solution</w:t>
      </w:r>
    </w:p>
    <w:p>
      <w:pPr>
        <w:spacing w:after="100" w:line="259" w:lineRule="auto"/>
      </w:pPr>
      <w:r>
        <w:rPr>
          <w:rFonts w:ascii="Arial" w:hAnsi="Arial"/>
          <w:b w:val="0"/>
          <w:color w:val="101828"/>
          <w:sz w:val="20"/>
        </w:rPr>
        <w:t>BinSight is a street-block prototype with three smart bins, one return station and hub. Focus A instruments each bin with a Teensy 4.1 running FreeRTOS for deterministic ultrasonic/load-cell polling, LED states, watchdog recovery and confidence flags for blocked or noisy readings. Focus C uses a Raspberry Pi/laptop hub to log sensor and QR events, estimate time-to-overflow with a tree-based model, rank pickups and compare fixed schedules against priority routes. Focus B adds a camera classifier that accepts plastic, metal and glass, then rejects non-recyclables before they enter the stream. Focus D builds an ESP32 return station following Singapore's Beverage Container Return Scheme / Return Right RVM flow with QR session, chute/servo feedback, dashboard logs and a simulated refund.</w:t>
      </w:r>
    </w:p>
    <w:p>
      <w:pPr>
        <w:spacing w:before="220" w:after="120"/>
        <w:pBdr>
          <w:bottom w:val="single" w:sz="8" w:space="3" w:color="007481"/>
        </w:pBdr>
      </w:pPr>
      <w:r>
        <w:rPr>
          <w:rFonts w:ascii="Arial" w:hAnsi="Arial"/>
          <w:b/>
          <w:color w:val="007481"/>
          <w:sz w:val="24"/>
        </w:rPr>
        <w:t>Simulation / Proposed Targets</w:t>
      </w:r>
    </w:p>
    <w:p>
      <w:pPr>
        <w:spacing w:after="100" w:line="259" w:lineRule="auto"/>
      </w:pPr>
      <w:r>
        <w:rPr>
          <w:rFonts w:ascii="Arial" w:hAnsi="Arial"/>
          <w:b w:val="0"/>
          <w:color w:val="101828"/>
          <w:sz w:val="20"/>
        </w:rPr>
        <w:t>The simulation uses prototype logs in a 30-day district model. It compares fixed collection with the priority route and checks for fewer overflows, fewer wasted trips, shorter route distance, lower fuel and CO2, cleaner return-station streams, and lower sensing energy within the USD150/SGD200 build.</w:t>
      </w:r>
    </w:p>
    <w:sectPr w:rsidR="00FC693F" w:rsidRPr="0006063C" w:rsidSect="00034616">
      <w:pgSz w:w="11906" w:h="16838"/>
      <w:pgMar w:top="765" w:right="879" w:bottom="567" w:left="879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86"/>
      <w:gridCol w:w="4819"/>
    </w:tblGrid>
    <w:tr>
      <w:tc>
        <w:tcPr>
          <w:tcW w:type="dxa" w:w="5102"/>
          <w:shd w:fill="020817"/>
        </w:tcPr>
        <w:p>
          <w:pPr>
            <w:spacing w:after="0"/>
          </w:pPr>
          <w:r>
            <w:rPr>
              <w:rFonts w:ascii="Arial" w:hAnsi="Arial"/>
              <w:b/>
              <w:color w:val="FFFFFF"/>
              <w:sz w:val="17"/>
            </w:rPr>
            <w:t>BinSight | Team: MON BLUE</w:t>
          </w:r>
        </w:p>
      </w:tc>
      <w:tc>
        <w:tcPr>
          <w:tcW w:type="dxa" w:w="5102"/>
          <w:shd w:fill="020817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48000" cy="44950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onash_logo_wh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4495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86"/>
      <w:gridCol w:w="4819"/>
    </w:tblGrid>
    <w:tr>
      <w:tc>
        <w:tcPr>
          <w:tcW w:type="dxa" w:w="5102"/>
          <w:shd w:fill="020817"/>
        </w:tcPr>
        <w:p>
          <w:pPr>
            <w:spacing w:after="0"/>
          </w:pPr>
          <w:r>
            <w:rPr>
              <w:rFonts w:ascii="Arial" w:hAnsi="Arial"/>
              <w:b/>
              <w:color w:val="FFFFFF"/>
              <w:sz w:val="17"/>
            </w:rPr>
            <w:t>BinSight | Page 1 of 1</w:t>
          </w:r>
        </w:p>
      </w:tc>
      <w:tc>
        <w:tcPr>
          <w:tcW w:type="dxa" w:w="5102"/>
          <w:shd w:fill="020817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48000" cy="44950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onash_logo_wh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4495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