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80" w:after="120"/>
        <w:jc w:val="center"/>
      </w:pPr>
      <w:r>
        <w:rPr>
          <w:rFonts w:ascii="Arial" w:hAnsi="Arial"/>
          <w:b/>
          <w:color w:val="020817"/>
          <w:sz w:val="84"/>
        </w:rPr>
        <w:t>BinSight</w:t>
      </w:r>
    </w:p>
    <w:p>
      <w:pPr>
        <w:spacing w:after="200"/>
        <w:jc w:val="center"/>
      </w:pPr>
      <w:r>
        <w:rPr>
          <w:rFonts w:ascii="Arial" w:hAnsi="Arial"/>
          <w:b/>
          <w:color w:val="00A7B5"/>
          <w:sz w:val="28"/>
        </w:rPr>
        <w:t>General-waste sensing, recycling vision and route simulation</w:t>
      </w:r>
    </w:p>
    <w:p>
      <w:pPr>
        <w:jc w:val="center"/>
      </w:pPr>
      <w:r>
        <w:rPr>
          <w:rFonts w:ascii="Arial" w:hAnsi="Arial"/>
          <w:b/>
          <w:color w:val="061B2E"/>
          <w:sz w:val="24"/>
        </w:rPr>
        <w:t>Team: MON BLUE</w:t>
      </w:r>
    </w:p>
    <w:p>
      <w:pPr>
        <w:spacing w:after="0" w:line="259" w:lineRule="auto"/>
        <w:jc w:val="center"/>
      </w:pPr>
      <w:r>
        <w:rPr>
          <w:rFonts w:ascii="Arial" w:hAnsi="Arial"/>
          <w:b/>
          <w:color w:val="344054"/>
          <w:sz w:val="18"/>
        </w:rPr>
        <w:t>Three general-waste bins | Vision-enabled recycling return | Decision hub | Route simulation</w:t>
      </w:r>
    </w:p>
    <w:p>
      <w:r>
        <w:br w:type="page"/>
      </w:r>
    </w:p>
    <w:p>
      <w:pPr>
        <w:sectPr>
          <w:headerReference w:type="default" r:id="rId9"/>
          <w:pgSz w:w="11906" w:h="16838"/>
          <w:pgMar w:top="765" w:right="879" w:bottom="567" w:left="879" w:header="255" w:footer="720" w:gutter="0"/>
          <w:cols w:space="720"/>
          <w:docGrid w:linePitch="360"/>
        </w:sectPr>
      </w:pPr>
    </w:p>
    <w:p>
      <w:pPr>
        <w:spacing w:before="220" w:after="120"/>
      </w:pPr>
      <w:r>
        <w:rPr>
          <w:rFonts w:ascii="Arial" w:hAnsi="Arial"/>
          <w:b/>
          <w:color w:val="101828"/>
          <w:sz w:val="32"/>
        </w:rPr>
        <w:t>Engineering Proposal</w:t>
      </w:r>
    </w:p>
    <w:p>
      <w:pPr>
        <w:spacing w:before="220" w:after="120"/>
        <w:pBdr>
          <w:bottom w:val="single" w:sz="8" w:space="3" w:color="007481"/>
        </w:pBdr>
      </w:pPr>
      <w:r>
        <w:rPr>
          <w:rFonts w:ascii="Arial" w:hAnsi="Arial"/>
          <w:b/>
          <w:color w:val="007481"/>
          <w:sz w:val="24"/>
        </w:rPr>
        <w:t>Problem Statement</w:t>
      </w:r>
    </w:p>
    <w:p>
      <w:pPr>
        <w:spacing w:after="100" w:line="259" w:lineRule="auto"/>
      </w:pPr>
      <w:r>
        <w:rPr>
          <w:rFonts w:ascii="Arial" w:hAnsi="Arial"/>
          <w:b w:val="0"/>
          <w:color w:val="101828"/>
          <w:sz w:val="20"/>
        </w:rPr>
        <w:t>Collection crews still follow fixed routes, causing them to empty underfilled bins while high-use sites overflow. This wastes fuel, increases collection emissions, and leaves operators without real-time visibility into which bins need urgent service.</w:t>
      </w:r>
    </w:p>
    <w:p>
      <w:pPr>
        <w:spacing w:before="220" w:after="120"/>
        <w:pBdr>
          <w:bottom w:val="single" w:sz="8" w:space="3" w:color="006DAE"/>
        </w:pBdr>
      </w:pPr>
      <w:r>
        <w:rPr>
          <w:rFonts w:ascii="Arial" w:hAnsi="Arial"/>
          <w:b/>
          <w:color w:val="006DAE"/>
          <w:sz w:val="24"/>
        </w:rPr>
        <w:t>Proposed Solution</w:t>
      </w:r>
    </w:p>
    <w:p>
      <w:pPr>
        <w:spacing w:after="100" w:line="259" w:lineRule="auto"/>
      </w:pPr>
      <w:r>
        <w:rPr>
          <w:rFonts w:ascii="Arial" w:hAnsi="Arial"/>
          <w:b w:val="0"/>
          <w:color w:val="101828"/>
          <w:sz w:val="20"/>
        </w:rPr>
        <w:t>BinSight has two hardware paths. Focus A instruments three general-waste bins using one Teensy 4.1 and FreeRTOS for scheduled ultrasonic/load-cell sensing, watchdog recovery, fault flags and fill telemetry through an ESP32-C3 Wi-Fi relay. Focus C's laptop hub logs readings, estimates time-to-overflow with a tree-based model, ranks pickups and compares fixed schedules with priority routes. Focus B adds vision only to the recycling-return station: an OV5647 camera feeds Grove Vision AI V2 for local classification. Focus D's dedicated ESP32-C3 relays class, confidence and timing, manages the QR session and commands chute/servo feedback; it does not run the model. Accepted plastic, metal and glass items are logged for a simulated refund, while non-recyclables are rejected.</w:t>
      </w:r>
    </w:p>
    <w:p>
      <w:pPr>
        <w:spacing w:before="220" w:after="120"/>
        <w:pBdr>
          <w:bottom w:val="single" w:sz="8" w:space="3" w:color="007481"/>
        </w:pBdr>
      </w:pPr>
      <w:r>
        <w:rPr>
          <w:rFonts w:ascii="Arial" w:hAnsi="Arial"/>
          <w:b/>
          <w:color w:val="007481"/>
          <w:sz w:val="24"/>
        </w:rPr>
        <w:t>Simulation / Proposed Targets</w:t>
      </w:r>
    </w:p>
    <w:p>
      <w:pPr>
        <w:spacing w:after="100" w:line="259" w:lineRule="auto"/>
      </w:pPr>
      <w:r>
        <w:rPr>
          <w:rFonts w:ascii="Arial" w:hAnsi="Arial"/>
          <w:b w:val="0"/>
          <w:color w:val="101828"/>
          <w:sz w:val="20"/>
        </w:rPr>
        <w:t>The simulation uses prototype logs in a 30-day district model. It compares fixed collection with the priority route and checks for fewer overflows, fewer wasted trips, shorter route distance, lower fuel and CO2, cleaner return-station streams, and lower sensing energy within the USD150/SGD200 build.</w:t>
      </w:r>
    </w:p>
    <w:sectPr w:rsidR="00FC693F" w:rsidRPr="0006063C" w:rsidSect="00034616">
      <w:pgSz w:w="11906" w:h="16838"/>
      <w:pgMar w:top="765" w:right="879" w:bottom="567" w:left="879" w:header="255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386"/>
      <w:gridCol w:w="4819"/>
    </w:tblGrid>
    <w:tr>
      <w:tc>
        <w:tcPr>
          <w:tcW w:type="dxa" w:w="5102"/>
          <w:shd w:fill="020817"/>
        </w:tcPr>
        <w:p>
          <w:pPr>
            <w:spacing w:after="0"/>
          </w:pPr>
          <w:r>
            <w:rPr>
              <w:rFonts w:ascii="Arial" w:hAnsi="Arial"/>
              <w:b/>
              <w:color w:val="FFFFFF"/>
              <w:sz w:val="17"/>
            </w:rPr>
            <w:t>BinSight | Team: MON BLUE</w:t>
          </w:r>
        </w:p>
      </w:tc>
      <w:tc>
        <w:tcPr>
          <w:tcW w:type="dxa" w:w="5102"/>
          <w:shd w:fill="020817"/>
        </w:tcPr>
        <w:p>
          <w:pPr>
            <w:spacing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548000" cy="44950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nash_logo_whit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8000" cy="44950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386"/>
      <w:gridCol w:w="4819"/>
    </w:tblGrid>
    <w:tr>
      <w:tc>
        <w:tcPr>
          <w:tcW w:type="dxa" w:w="5102"/>
          <w:shd w:fill="020817"/>
        </w:tcPr>
        <w:p>
          <w:pPr>
            <w:spacing w:after="0"/>
          </w:pPr>
          <w:r>
            <w:rPr>
              <w:rFonts w:ascii="Arial" w:hAnsi="Arial"/>
              <w:b/>
              <w:color w:val="FFFFFF"/>
              <w:sz w:val="17"/>
            </w:rPr>
            <w:t>BinSight | Page 1 of 1</w:t>
          </w:r>
        </w:p>
      </w:tc>
      <w:tc>
        <w:tcPr>
          <w:tcW w:type="dxa" w:w="5102"/>
          <w:shd w:fill="020817"/>
        </w:tcPr>
        <w:p>
          <w:pPr>
            <w:spacing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548000" cy="449505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nash_logo_whit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8000" cy="44950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