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84C27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rFonts w:ascii="Segoe UI Emoji" w:hAnsi="Segoe UI Emoji" w:cs="Segoe UI Emoji"/>
          <w:sz w:val="20"/>
          <w:szCs w:val="20"/>
        </w:rPr>
        <w:t>🎤</w:t>
      </w:r>
      <w:r w:rsidRPr="00617D4E">
        <w:rPr>
          <w:sz w:val="20"/>
          <w:szCs w:val="20"/>
        </w:rPr>
        <w:t xml:space="preserve"> </w:t>
      </w:r>
      <w:r w:rsidRPr="00617D4E">
        <w:rPr>
          <w:b/>
          <w:bCs/>
          <w:sz w:val="20"/>
          <w:szCs w:val="20"/>
        </w:rPr>
        <w:t>Opening Line:</w:t>
      </w:r>
    </w:p>
    <w:p w14:paraId="115E24A6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"Good [morning/afternoon], everyone.</w:t>
      </w:r>
    </w:p>
    <w:p w14:paraId="469D770C" w14:textId="545B4C3B" w:rsidR="00997F75" w:rsidRPr="000111ED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 xml:space="preserve">In this project, my focus was on </w:t>
      </w:r>
      <w:r w:rsidRPr="000111ED">
        <w:rPr>
          <w:sz w:val="20"/>
          <w:szCs w:val="20"/>
        </w:rPr>
        <w:t>building</w:t>
      </w:r>
      <w:r w:rsidRPr="00617D4E">
        <w:rPr>
          <w:sz w:val="20"/>
          <w:szCs w:val="20"/>
        </w:rPr>
        <w:t xml:space="preserve"> intuitive dashboards using </w:t>
      </w:r>
      <w:proofErr w:type="spellStart"/>
      <w:r w:rsidRPr="00617D4E">
        <w:rPr>
          <w:sz w:val="20"/>
          <w:szCs w:val="20"/>
        </w:rPr>
        <w:t>Streamlit</w:t>
      </w:r>
      <w:proofErr w:type="spellEnd"/>
      <w:r w:rsidRPr="00617D4E">
        <w:rPr>
          <w:sz w:val="20"/>
          <w:szCs w:val="20"/>
        </w:rPr>
        <w:t xml:space="preserve"> and </w:t>
      </w:r>
      <w:proofErr w:type="spellStart"/>
      <w:r w:rsidRPr="00617D4E">
        <w:rPr>
          <w:sz w:val="20"/>
          <w:szCs w:val="20"/>
        </w:rPr>
        <w:t>Plotly</w:t>
      </w:r>
      <w:proofErr w:type="spellEnd"/>
      <w:r w:rsidRPr="00617D4E">
        <w:rPr>
          <w:sz w:val="20"/>
          <w:szCs w:val="20"/>
        </w:rPr>
        <w:t xml:space="preserve"> to help users clearly understand how mobility trends, pandemic severity, and government policies evolved across time and geography."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1ED" w:rsidRPr="000111ED" w14:paraId="4EEB2CE1" w14:textId="77777777" w:rsidTr="000111ED">
        <w:tc>
          <w:tcPr>
            <w:tcW w:w="9350" w:type="dxa"/>
          </w:tcPr>
          <w:tbl>
            <w:tblPr>
              <w:tblW w:w="92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2237"/>
              <w:gridCol w:w="2799"/>
              <w:gridCol w:w="2580"/>
            </w:tblGrid>
            <w:tr w:rsidR="000111ED" w:rsidRPr="000111ED" w14:paraId="1BA578FC" w14:textId="77777777" w:rsidTr="000111ED">
              <w:trPr>
                <w:trHeight w:val="320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158C7" w14:textId="77777777" w:rsidR="000111ED" w:rsidRPr="00617D4E" w:rsidRDefault="000111ED" w:rsidP="00EA347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7A75B" w14:textId="77777777" w:rsidR="000111ED" w:rsidRPr="00617D4E" w:rsidRDefault="000111ED" w:rsidP="00EA347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What It Shows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C1876" w14:textId="77777777" w:rsidR="000111ED" w:rsidRPr="00617D4E" w:rsidRDefault="000111ED" w:rsidP="00EA347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Why This 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34EDF" w14:textId="77777777" w:rsidR="000111ED" w:rsidRPr="00617D4E" w:rsidRDefault="000111ED" w:rsidP="00EA347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Insight</w:t>
                  </w:r>
                </w:p>
              </w:tc>
            </w:tr>
            <w:tr w:rsidR="000111ED" w:rsidRPr="000111ED" w14:paraId="5902471D" w14:textId="77777777" w:rsidTr="000111ED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F2953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Global Line 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11D75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Global average mobility trend over time.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3F635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17D4E">
                    <w:rPr>
                      <w:sz w:val="20"/>
                      <w:szCs w:val="20"/>
                    </w:rPr>
                    <w:t>Line</w:t>
                  </w:r>
                  <w:proofErr w:type="gramEnd"/>
                  <w:r w:rsidRPr="00617D4E">
                    <w:rPr>
                      <w:sz w:val="20"/>
                      <w:szCs w:val="20"/>
                    </w:rPr>
                    <w:t xml:space="preserve"> chart best shows continuous time series and trend changes.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92DE3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Mobility dropped sharply in early 2020; slow recovery began post-2021.</w:t>
                  </w:r>
                </w:p>
              </w:tc>
            </w:tr>
            <w:tr w:rsidR="000111ED" w:rsidRPr="000111ED" w14:paraId="76539579" w14:textId="77777777" w:rsidTr="000111ED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6F01B8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Global Yearly Bar 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1D60D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Year-over-year comparison of mobility.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D5AE8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Bar charts compare magnitudes better than pie charts, especially with small differences.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55A3D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2020 had the lowest mobility; slight recovery in 2021 and 2022.</w:t>
                  </w:r>
                </w:p>
              </w:tc>
            </w:tr>
            <w:tr w:rsidR="000111ED" w:rsidRPr="000111ED" w14:paraId="4EF3CA04" w14:textId="77777777" w:rsidTr="000111ED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A2F73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 xml:space="preserve">Global </w:t>
                  </w:r>
                  <w:proofErr w:type="spellStart"/>
                  <w:r w:rsidRPr="00617D4E">
                    <w:rPr>
                      <w:b/>
                      <w:bCs/>
                      <w:sz w:val="20"/>
                      <w:szCs w:val="20"/>
                    </w:rPr>
                    <w:t>Treemap</w:t>
                  </w:r>
                  <w:proofErr w:type="spellEnd"/>
                  <w:r w:rsidRPr="00617D4E">
                    <w:rPr>
                      <w:b/>
                      <w:bCs/>
                      <w:sz w:val="20"/>
                      <w:szCs w:val="20"/>
                    </w:rPr>
                    <w:t xml:space="preserve"> (Policy)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B4F94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Mobility vs policy stringency for each country.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8C3E6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17D4E">
                    <w:rPr>
                      <w:sz w:val="20"/>
                      <w:szCs w:val="20"/>
                    </w:rPr>
                    <w:t>Treemap</w:t>
                  </w:r>
                  <w:proofErr w:type="spellEnd"/>
                  <w:r w:rsidRPr="00617D4E">
                    <w:rPr>
                      <w:sz w:val="20"/>
                      <w:szCs w:val="20"/>
                    </w:rPr>
                    <w:t xml:space="preserve"> compactly shows two variables — size (mobility) and color (policy score).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100DF2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Countries with stricter policies generally had lower mobility.</w:t>
                  </w:r>
                </w:p>
              </w:tc>
            </w:tr>
            <w:tr w:rsidR="000111ED" w:rsidRPr="000111ED" w14:paraId="595B7D7A" w14:textId="77777777" w:rsidTr="000111ED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9D1C4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Pareto Chart (Top Countries)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15600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COVID-19 cases vs mobility for top countries.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CF2FA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Dual-axis bar + line allows comparing count vs percentage clearly.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22469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Some countries had high cases but not low mobility, showing varied compliance.</w:t>
                  </w:r>
                </w:p>
              </w:tc>
            </w:tr>
            <w:tr w:rsidR="000111ED" w:rsidRPr="000111ED" w14:paraId="700E24F3" w14:textId="77777777" w:rsidTr="000111ED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9870A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Funnel Chart (Top Mobility Countries)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E5CAF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Rank of countries by mobility index.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65513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Funnel naturally emphasizes ranking/drop-off better than bars/pies.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AC03F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Certain countries maintained higher mobility despite pandemic conditions.</w:t>
                  </w:r>
                </w:p>
              </w:tc>
            </w:tr>
            <w:tr w:rsidR="000111ED" w:rsidRPr="000111ED" w14:paraId="74651C19" w14:textId="77777777" w:rsidTr="000111ED">
              <w:trPr>
                <w:trHeight w:val="9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C660D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Single Country Dual-Axis 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3F098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Mobility and new COVID-19 cases over time for a selected country.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1B1F6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17D4E">
                    <w:rPr>
                      <w:sz w:val="20"/>
                      <w:szCs w:val="20"/>
                    </w:rPr>
                    <w:t>Dual</w:t>
                  </w:r>
                  <w:proofErr w:type="gramEnd"/>
                  <w:r w:rsidRPr="00617D4E">
                    <w:rPr>
                      <w:sz w:val="20"/>
                      <w:szCs w:val="20"/>
                    </w:rPr>
                    <w:t>-axis line chart helps correlate two trends over the same dates.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513CA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Sharp mobility drops aligned with case surges; reopening periods visible.</w:t>
                  </w:r>
                </w:p>
              </w:tc>
            </w:tr>
            <w:tr w:rsidR="000111ED" w:rsidRPr="000111ED" w14:paraId="1E6F84DD" w14:textId="77777777" w:rsidTr="000111ED">
              <w:trPr>
                <w:trHeight w:val="7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3E49D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Multi-Country Line 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64CDA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Compare monthly mobility trends for selected countries.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0F1DAA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Line chart best for comparing multiple country trajectories over time.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1CDC2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Different reopening patterns across regions.</w:t>
                  </w:r>
                </w:p>
              </w:tc>
            </w:tr>
            <w:tr w:rsidR="000111ED" w:rsidRPr="000111ED" w14:paraId="57212479" w14:textId="77777777" w:rsidTr="000111ED">
              <w:trPr>
                <w:trHeight w:val="7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8CFA7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b/>
                      <w:bCs/>
                      <w:sz w:val="20"/>
                      <w:szCs w:val="20"/>
                    </w:rPr>
                    <w:t>Multi-Country Yearly Bar Chart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30A70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Yearly average mobility by country.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4638C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Bar chart easily ranks countries and shows mobility differences.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BCB40" w14:textId="77777777" w:rsidR="000111ED" w:rsidRPr="00617D4E" w:rsidRDefault="000111ED" w:rsidP="00EA3479">
                  <w:pPr>
                    <w:rPr>
                      <w:sz w:val="20"/>
                      <w:szCs w:val="20"/>
                    </w:rPr>
                  </w:pPr>
                  <w:r w:rsidRPr="00617D4E">
                    <w:rPr>
                      <w:sz w:val="20"/>
                      <w:szCs w:val="20"/>
                    </w:rPr>
                    <w:t>Some countries recovered mobility faster than others in 2021–22.</w:t>
                  </w:r>
                </w:p>
              </w:tc>
            </w:tr>
          </w:tbl>
          <w:p w14:paraId="2D812813" w14:textId="77777777" w:rsidR="000111ED" w:rsidRPr="000111ED" w:rsidRDefault="000111ED">
            <w:pPr>
              <w:rPr>
                <w:sz w:val="20"/>
                <w:szCs w:val="20"/>
              </w:rPr>
            </w:pPr>
          </w:p>
        </w:tc>
      </w:tr>
    </w:tbl>
    <w:p w14:paraId="7DA1F90D" w14:textId="77777777" w:rsidR="00617D4E" w:rsidRPr="000111ED" w:rsidRDefault="00617D4E" w:rsidP="00617D4E">
      <w:pPr>
        <w:rPr>
          <w:sz w:val="20"/>
          <w:szCs w:val="20"/>
        </w:rPr>
      </w:pPr>
    </w:p>
    <w:p w14:paraId="0BF0EC40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📚</w:t>
      </w:r>
      <w:r w:rsidRPr="00617D4E">
        <w:rPr>
          <w:b/>
          <w:bCs/>
          <w:sz w:val="20"/>
          <w:szCs w:val="20"/>
        </w:rPr>
        <w:t xml:space="preserve"> Cheat Sheet – COVID-19 Mobility Visualizations</w:t>
      </w:r>
    </w:p>
    <w:p w14:paraId="34A40980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Global Overview Tab</w:t>
      </w:r>
    </w:p>
    <w:p w14:paraId="140D3A76" w14:textId="77777777" w:rsidR="00617D4E" w:rsidRPr="00617D4E" w:rsidRDefault="00617D4E" w:rsidP="00617D4E">
      <w:pPr>
        <w:numPr>
          <w:ilvl w:val="0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lastRenderedPageBreak/>
        <w:t>Global Line Chart</w:t>
      </w:r>
    </w:p>
    <w:p w14:paraId="5A8874DE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Shows global average mobility over time.</w:t>
      </w:r>
    </w:p>
    <w:p w14:paraId="3FF844BC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>: Line charts best capture time series trends and turning points.</w:t>
      </w:r>
    </w:p>
    <w:p w14:paraId="3271C334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Major dip during early 2020 lockdowns; gradual recovery afterward.</w:t>
      </w:r>
    </w:p>
    <w:p w14:paraId="515A72BD" w14:textId="77777777" w:rsidR="00617D4E" w:rsidRPr="00617D4E" w:rsidRDefault="00617D4E" w:rsidP="00617D4E">
      <w:pPr>
        <w:numPr>
          <w:ilvl w:val="0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Global Yearly Bar Chart</w:t>
      </w:r>
    </w:p>
    <w:p w14:paraId="15F09621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Compares average mobility across years.</w:t>
      </w:r>
    </w:p>
    <w:p w14:paraId="49BC1ED1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>: Bar charts compare magnitudes clearly, better than pie charts for multiple years.</w:t>
      </w:r>
    </w:p>
    <w:p w14:paraId="50F725EB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 xml:space="preserve">: 2020 had </w:t>
      </w:r>
      <w:proofErr w:type="gramStart"/>
      <w:r w:rsidRPr="00617D4E">
        <w:rPr>
          <w:sz w:val="20"/>
          <w:szCs w:val="20"/>
        </w:rPr>
        <w:t>lowest</w:t>
      </w:r>
      <w:proofErr w:type="gramEnd"/>
      <w:r w:rsidRPr="00617D4E">
        <w:rPr>
          <w:sz w:val="20"/>
          <w:szCs w:val="20"/>
        </w:rPr>
        <w:t xml:space="preserve"> mobility; signs of recovery in 2021 and 2022.</w:t>
      </w:r>
    </w:p>
    <w:p w14:paraId="34769B16" w14:textId="77777777" w:rsidR="00617D4E" w:rsidRPr="00617D4E" w:rsidRDefault="00617D4E" w:rsidP="00617D4E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617D4E">
        <w:rPr>
          <w:b/>
          <w:bCs/>
          <w:sz w:val="20"/>
          <w:szCs w:val="20"/>
        </w:rPr>
        <w:t>Treemap</w:t>
      </w:r>
      <w:proofErr w:type="spellEnd"/>
      <w:r w:rsidRPr="00617D4E">
        <w:rPr>
          <w:b/>
          <w:bCs/>
          <w:sz w:val="20"/>
          <w:szCs w:val="20"/>
        </w:rPr>
        <w:t xml:space="preserve"> – Mobility vs Policy Strength</w:t>
      </w:r>
    </w:p>
    <w:p w14:paraId="4528785A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Shows mobility and policy strictness per country.</w:t>
      </w:r>
    </w:p>
    <w:p w14:paraId="3C9DFAF9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 xml:space="preserve">: </w:t>
      </w:r>
      <w:proofErr w:type="spellStart"/>
      <w:r w:rsidRPr="00617D4E">
        <w:rPr>
          <w:sz w:val="20"/>
          <w:szCs w:val="20"/>
        </w:rPr>
        <w:t>Treemaps</w:t>
      </w:r>
      <w:proofErr w:type="spellEnd"/>
      <w:r w:rsidRPr="00617D4E">
        <w:rPr>
          <w:sz w:val="20"/>
          <w:szCs w:val="20"/>
        </w:rPr>
        <w:t xml:space="preserve"> display two variables (size and color) compactly.</w:t>
      </w:r>
    </w:p>
    <w:p w14:paraId="13B1F9FA" w14:textId="77777777" w:rsidR="00617D4E" w:rsidRPr="00617D4E" w:rsidRDefault="00617D4E" w:rsidP="00617D4E">
      <w:pPr>
        <w:numPr>
          <w:ilvl w:val="1"/>
          <w:numId w:val="1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Countries with stricter policies usually had lower mobility.</w:t>
      </w:r>
    </w:p>
    <w:p w14:paraId="2DCFA54B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3522AF1D">
          <v:rect id="_x0000_i2089" style="width:0;height:1.5pt" o:hralign="center" o:hrstd="t" o:hr="t" fillcolor="#a0a0a0" stroked="f"/>
        </w:pict>
      </w:r>
    </w:p>
    <w:p w14:paraId="1204EDF0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Top Countries Tab</w:t>
      </w:r>
    </w:p>
    <w:p w14:paraId="6228D2CC" w14:textId="77777777" w:rsidR="00617D4E" w:rsidRPr="00617D4E" w:rsidRDefault="00617D4E" w:rsidP="00617D4E">
      <w:pPr>
        <w:numPr>
          <w:ilvl w:val="0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Pareto Chart – Top Countries</w:t>
      </w:r>
    </w:p>
    <w:p w14:paraId="532BC84E" w14:textId="77777777" w:rsidR="00617D4E" w:rsidRPr="00617D4E" w:rsidRDefault="00617D4E" w:rsidP="00617D4E">
      <w:pPr>
        <w:numPr>
          <w:ilvl w:val="1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Mobility vs total COVID-19 cases for most affected countries.</w:t>
      </w:r>
    </w:p>
    <w:p w14:paraId="51B03D43" w14:textId="77777777" w:rsidR="00617D4E" w:rsidRPr="00617D4E" w:rsidRDefault="00617D4E" w:rsidP="00617D4E">
      <w:pPr>
        <w:numPr>
          <w:ilvl w:val="1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 xml:space="preserve">: </w:t>
      </w:r>
      <w:proofErr w:type="gramStart"/>
      <w:r w:rsidRPr="00617D4E">
        <w:rPr>
          <w:sz w:val="20"/>
          <w:szCs w:val="20"/>
        </w:rPr>
        <w:t>Dual-axis</w:t>
      </w:r>
      <w:proofErr w:type="gramEnd"/>
      <w:r w:rsidRPr="00617D4E">
        <w:rPr>
          <w:sz w:val="20"/>
          <w:szCs w:val="20"/>
        </w:rPr>
        <w:t xml:space="preserve"> (bar + line) needed to show two different scales (counts vs percentages).</w:t>
      </w:r>
    </w:p>
    <w:p w14:paraId="712B26E0" w14:textId="77777777" w:rsidR="00617D4E" w:rsidRPr="00617D4E" w:rsidRDefault="00617D4E" w:rsidP="00617D4E">
      <w:pPr>
        <w:numPr>
          <w:ilvl w:val="1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Some countries had high cases but relatively moderate mobility reductions.</w:t>
      </w:r>
    </w:p>
    <w:p w14:paraId="1F7F6307" w14:textId="77777777" w:rsidR="00617D4E" w:rsidRPr="00617D4E" w:rsidRDefault="00617D4E" w:rsidP="00617D4E">
      <w:pPr>
        <w:numPr>
          <w:ilvl w:val="0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Funnel Chart – Top Mobility Countries</w:t>
      </w:r>
    </w:p>
    <w:p w14:paraId="7506BC8F" w14:textId="77777777" w:rsidR="00617D4E" w:rsidRPr="00617D4E" w:rsidRDefault="00617D4E" w:rsidP="00617D4E">
      <w:pPr>
        <w:numPr>
          <w:ilvl w:val="1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Ranks countries based on highest mobility.</w:t>
      </w:r>
    </w:p>
    <w:p w14:paraId="1E7CC2EC" w14:textId="77777777" w:rsidR="00617D4E" w:rsidRPr="00617D4E" w:rsidRDefault="00617D4E" w:rsidP="00617D4E">
      <w:pPr>
        <w:numPr>
          <w:ilvl w:val="1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>: Funnel chart emphasizes ranking and "drop-off" better than simple bar charts.</w:t>
      </w:r>
    </w:p>
    <w:p w14:paraId="334E8CB6" w14:textId="77777777" w:rsidR="00617D4E" w:rsidRPr="00617D4E" w:rsidRDefault="00617D4E" w:rsidP="00617D4E">
      <w:pPr>
        <w:numPr>
          <w:ilvl w:val="1"/>
          <w:numId w:val="2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A few countries maintained much higher mobility compared to others.</w:t>
      </w:r>
    </w:p>
    <w:p w14:paraId="6778E5B3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0EA4C095">
          <v:rect id="_x0000_i2090" style="width:0;height:1.5pt" o:hralign="center" o:hrstd="t" o:hr="t" fillcolor="#a0a0a0" stroked="f"/>
        </w:pict>
      </w:r>
    </w:p>
    <w:p w14:paraId="2410FE16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Single Country Tab</w:t>
      </w:r>
    </w:p>
    <w:p w14:paraId="3AF067B6" w14:textId="77777777" w:rsidR="00617D4E" w:rsidRPr="00617D4E" w:rsidRDefault="00617D4E" w:rsidP="00617D4E">
      <w:pPr>
        <w:numPr>
          <w:ilvl w:val="0"/>
          <w:numId w:val="3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Dual-Axis Chart – Single Country Mobility vs Cases</w:t>
      </w:r>
    </w:p>
    <w:p w14:paraId="33C7832A" w14:textId="77777777" w:rsidR="00617D4E" w:rsidRPr="00617D4E" w:rsidRDefault="00617D4E" w:rsidP="00617D4E">
      <w:pPr>
        <w:numPr>
          <w:ilvl w:val="1"/>
          <w:numId w:val="3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Mobility and new COVID-19 cases over time for a selected country.</w:t>
      </w:r>
    </w:p>
    <w:p w14:paraId="07FFB821" w14:textId="77777777" w:rsidR="00617D4E" w:rsidRPr="00617D4E" w:rsidRDefault="00617D4E" w:rsidP="00617D4E">
      <w:pPr>
        <w:numPr>
          <w:ilvl w:val="1"/>
          <w:numId w:val="3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>: Dual y-axes allow showing different units (mobility % vs case counts) together.</w:t>
      </w:r>
    </w:p>
    <w:p w14:paraId="7847839B" w14:textId="77777777" w:rsidR="00617D4E" w:rsidRPr="00617D4E" w:rsidRDefault="00617D4E" w:rsidP="00617D4E">
      <w:pPr>
        <w:numPr>
          <w:ilvl w:val="1"/>
          <w:numId w:val="3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Mobility dips typically align with peaks in new COVID-19 cases.</w:t>
      </w:r>
    </w:p>
    <w:p w14:paraId="6A90C54C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617CCDD2">
          <v:rect id="_x0000_i2091" style="width:0;height:1.5pt" o:hralign="center" o:hrstd="t" o:hr="t" fillcolor="#a0a0a0" stroked="f"/>
        </w:pict>
      </w:r>
    </w:p>
    <w:p w14:paraId="4EEDD557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lastRenderedPageBreak/>
        <w:t>Multi-Country Tab</w:t>
      </w:r>
    </w:p>
    <w:p w14:paraId="151E578E" w14:textId="77777777" w:rsidR="00617D4E" w:rsidRPr="00617D4E" w:rsidRDefault="00617D4E" w:rsidP="00617D4E">
      <w:pPr>
        <w:numPr>
          <w:ilvl w:val="0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Line Chart – Multi-Country Monthly Trend</w:t>
      </w:r>
    </w:p>
    <w:p w14:paraId="48119A1C" w14:textId="77777777" w:rsidR="00617D4E" w:rsidRPr="00617D4E" w:rsidRDefault="00617D4E" w:rsidP="00617D4E">
      <w:pPr>
        <w:numPr>
          <w:ilvl w:val="1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Mobility trends of selected countries over time (monthly).</w:t>
      </w:r>
    </w:p>
    <w:p w14:paraId="6651EE80" w14:textId="77777777" w:rsidR="00617D4E" w:rsidRPr="00617D4E" w:rsidRDefault="00617D4E" w:rsidP="00617D4E">
      <w:pPr>
        <w:numPr>
          <w:ilvl w:val="1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>: Line charts make it easy to compare trends across multiple countries.</w:t>
      </w:r>
    </w:p>
    <w:p w14:paraId="70378588" w14:textId="77777777" w:rsidR="00617D4E" w:rsidRPr="00617D4E" w:rsidRDefault="00617D4E" w:rsidP="00617D4E">
      <w:pPr>
        <w:numPr>
          <w:ilvl w:val="1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Different countries show different patterns of recovery and restrictions.</w:t>
      </w:r>
    </w:p>
    <w:p w14:paraId="1D0A94DD" w14:textId="77777777" w:rsidR="00617D4E" w:rsidRPr="00617D4E" w:rsidRDefault="00617D4E" w:rsidP="00617D4E">
      <w:pPr>
        <w:numPr>
          <w:ilvl w:val="0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Bar Chart – Yearly Country Comparison</w:t>
      </w:r>
    </w:p>
    <w:p w14:paraId="39FDAFD6" w14:textId="77777777" w:rsidR="00617D4E" w:rsidRPr="00617D4E" w:rsidRDefault="00617D4E" w:rsidP="00617D4E">
      <w:pPr>
        <w:numPr>
          <w:ilvl w:val="1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What</w:t>
      </w:r>
      <w:r w:rsidRPr="00617D4E">
        <w:rPr>
          <w:sz w:val="20"/>
          <w:szCs w:val="20"/>
        </w:rPr>
        <w:t>: Yearly average mobility index for selected countries.</w:t>
      </w:r>
    </w:p>
    <w:p w14:paraId="544F7E81" w14:textId="77777777" w:rsidR="00617D4E" w:rsidRPr="00617D4E" w:rsidRDefault="00617D4E" w:rsidP="00617D4E">
      <w:pPr>
        <w:numPr>
          <w:ilvl w:val="1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Why</w:t>
      </w:r>
      <w:r w:rsidRPr="00617D4E">
        <w:rPr>
          <w:sz w:val="20"/>
          <w:szCs w:val="20"/>
        </w:rPr>
        <w:t>: Bar charts rank countries clearly; pie charts would distort small differences.</w:t>
      </w:r>
    </w:p>
    <w:p w14:paraId="08B50BEF" w14:textId="77777777" w:rsidR="00617D4E" w:rsidRPr="00617D4E" w:rsidRDefault="00617D4E" w:rsidP="00617D4E">
      <w:pPr>
        <w:numPr>
          <w:ilvl w:val="1"/>
          <w:numId w:val="4"/>
        </w:numPr>
        <w:rPr>
          <w:sz w:val="20"/>
          <w:szCs w:val="20"/>
        </w:rPr>
      </w:pPr>
      <w:r w:rsidRPr="00617D4E">
        <w:rPr>
          <w:b/>
          <w:bCs/>
          <w:sz w:val="20"/>
          <w:szCs w:val="20"/>
        </w:rPr>
        <w:t>Insight</w:t>
      </w:r>
      <w:r w:rsidRPr="00617D4E">
        <w:rPr>
          <w:sz w:val="20"/>
          <w:szCs w:val="20"/>
        </w:rPr>
        <w:t>: Some countries restored mobility faster post-2020 than others.</w:t>
      </w:r>
    </w:p>
    <w:p w14:paraId="0909D88F" w14:textId="77777777" w:rsidR="00617D4E" w:rsidRPr="000111ED" w:rsidRDefault="00617D4E" w:rsidP="00617D4E">
      <w:pPr>
        <w:rPr>
          <w:sz w:val="20"/>
          <w:szCs w:val="20"/>
        </w:rPr>
      </w:pPr>
    </w:p>
    <w:p w14:paraId="7361FC61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617D4E">
        <w:rPr>
          <w:b/>
          <w:bCs/>
          <w:sz w:val="20"/>
          <w:szCs w:val="20"/>
        </w:rPr>
        <w:t xml:space="preserve"> Design Choices – Quick Answers</w:t>
      </w:r>
    </w:p>
    <w:p w14:paraId="111C1405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 xml:space="preserve">Why </w:t>
      </w:r>
      <w:proofErr w:type="spellStart"/>
      <w:r w:rsidRPr="00617D4E">
        <w:rPr>
          <w:b/>
          <w:bCs/>
          <w:sz w:val="20"/>
          <w:szCs w:val="20"/>
        </w:rPr>
        <w:t>Streamlit</w:t>
      </w:r>
      <w:proofErr w:type="spellEnd"/>
      <w:r w:rsidRPr="00617D4E">
        <w:rPr>
          <w:b/>
          <w:bCs/>
          <w:sz w:val="20"/>
          <w:szCs w:val="20"/>
        </w:rPr>
        <w:t>?</w:t>
      </w:r>
    </w:p>
    <w:p w14:paraId="7D38C42D" w14:textId="77777777" w:rsidR="00617D4E" w:rsidRPr="00617D4E" w:rsidRDefault="00617D4E" w:rsidP="00617D4E">
      <w:pPr>
        <w:rPr>
          <w:sz w:val="20"/>
          <w:szCs w:val="20"/>
        </w:rPr>
      </w:pPr>
      <w:proofErr w:type="spellStart"/>
      <w:r w:rsidRPr="00617D4E">
        <w:rPr>
          <w:i/>
          <w:iCs/>
          <w:sz w:val="20"/>
          <w:szCs w:val="20"/>
        </w:rPr>
        <w:t>Streamlit</w:t>
      </w:r>
      <w:proofErr w:type="spellEnd"/>
      <w:r w:rsidRPr="00617D4E">
        <w:rPr>
          <w:i/>
          <w:iCs/>
          <w:sz w:val="20"/>
          <w:szCs w:val="20"/>
        </w:rPr>
        <w:t xml:space="preserve"> is lightweight, fast, and designed specifically for building interactive data apps without complex frontend coding. It allowed us to focus purely on analytics and user interaction with minimal overhead.</w:t>
      </w:r>
    </w:p>
    <w:p w14:paraId="05CAF3AE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7F9A82E7">
          <v:rect id="_x0000_i2092" style="width:0;height:1.5pt" o:hralign="center" o:hrstd="t" o:hr="t" fillcolor="#a0a0a0" stroked="f"/>
        </w:pict>
      </w:r>
    </w:p>
    <w:p w14:paraId="55F2FB1A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 xml:space="preserve">Why </w:t>
      </w:r>
      <w:proofErr w:type="spellStart"/>
      <w:r w:rsidRPr="00617D4E">
        <w:rPr>
          <w:b/>
          <w:bCs/>
          <w:sz w:val="20"/>
          <w:szCs w:val="20"/>
        </w:rPr>
        <w:t>Plotly</w:t>
      </w:r>
      <w:proofErr w:type="spellEnd"/>
      <w:r w:rsidRPr="00617D4E">
        <w:rPr>
          <w:b/>
          <w:bCs/>
          <w:sz w:val="20"/>
          <w:szCs w:val="20"/>
        </w:rPr>
        <w:t xml:space="preserve"> and not some other library (like Matplotlib, Seaborn)?</w:t>
      </w:r>
    </w:p>
    <w:p w14:paraId="65980AAE" w14:textId="77777777" w:rsidR="00617D4E" w:rsidRPr="00617D4E" w:rsidRDefault="00617D4E" w:rsidP="00617D4E">
      <w:pPr>
        <w:rPr>
          <w:sz w:val="20"/>
          <w:szCs w:val="20"/>
        </w:rPr>
      </w:pPr>
      <w:proofErr w:type="spellStart"/>
      <w:r w:rsidRPr="00617D4E">
        <w:rPr>
          <w:i/>
          <w:iCs/>
          <w:sz w:val="20"/>
          <w:szCs w:val="20"/>
        </w:rPr>
        <w:t>Plotly</w:t>
      </w:r>
      <w:proofErr w:type="spellEnd"/>
      <w:r w:rsidRPr="00617D4E">
        <w:rPr>
          <w:i/>
          <w:iCs/>
          <w:sz w:val="20"/>
          <w:szCs w:val="20"/>
        </w:rPr>
        <w:t xml:space="preserve"> offers interactive, zoomable, </w:t>
      </w:r>
      <w:proofErr w:type="spellStart"/>
      <w:r w:rsidRPr="00617D4E">
        <w:rPr>
          <w:i/>
          <w:iCs/>
          <w:sz w:val="20"/>
          <w:szCs w:val="20"/>
        </w:rPr>
        <w:t>hoverable</w:t>
      </w:r>
      <w:proofErr w:type="spellEnd"/>
      <w:r w:rsidRPr="00617D4E">
        <w:rPr>
          <w:i/>
          <w:iCs/>
          <w:sz w:val="20"/>
          <w:szCs w:val="20"/>
        </w:rPr>
        <w:t xml:space="preserve"> charts out-of-the-box, which is critical for an </w:t>
      </w:r>
      <w:proofErr w:type="gramStart"/>
      <w:r w:rsidRPr="00617D4E">
        <w:rPr>
          <w:i/>
          <w:iCs/>
          <w:sz w:val="20"/>
          <w:szCs w:val="20"/>
        </w:rPr>
        <w:t>exploratory</w:t>
      </w:r>
      <w:proofErr w:type="gramEnd"/>
      <w:r w:rsidRPr="00617D4E">
        <w:rPr>
          <w:i/>
          <w:iCs/>
          <w:sz w:val="20"/>
          <w:szCs w:val="20"/>
        </w:rPr>
        <w:t xml:space="preserve"> dashboard. Unlike static libraries like Matplotlib or Seaborn, </w:t>
      </w:r>
      <w:proofErr w:type="spellStart"/>
      <w:r w:rsidRPr="00617D4E">
        <w:rPr>
          <w:i/>
          <w:iCs/>
          <w:sz w:val="20"/>
          <w:szCs w:val="20"/>
        </w:rPr>
        <w:t>Plotly</w:t>
      </w:r>
      <w:proofErr w:type="spellEnd"/>
      <w:r w:rsidRPr="00617D4E">
        <w:rPr>
          <w:i/>
          <w:iCs/>
          <w:sz w:val="20"/>
          <w:szCs w:val="20"/>
        </w:rPr>
        <w:t xml:space="preserve"> makes the user experience dynamic and engaging.</w:t>
      </w:r>
    </w:p>
    <w:p w14:paraId="14DEA72E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659CD712">
          <v:rect id="_x0000_i2093" style="width:0;height:1.5pt" o:hralign="center" o:hrstd="t" o:hr="t" fillcolor="#a0a0a0" stroked="f"/>
        </w:pict>
      </w:r>
    </w:p>
    <w:p w14:paraId="3CC04DC1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Why use Dual-Axis Charts?</w:t>
      </w:r>
    </w:p>
    <w:p w14:paraId="3873A7E0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t>Dual-axis charts allow us to compare two different units — like Mobility % and COVID-19 case counts — together without confusion. It helps highlight relationships (e.g., when higher cases correlate with lower mobility) which a single axis would distort.</w:t>
      </w:r>
    </w:p>
    <w:p w14:paraId="47FC1025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4CF3B0D2">
          <v:rect id="_x0000_i2094" style="width:0;height:1.5pt" o:hralign="center" o:hrstd="t" o:hr="t" fillcolor="#a0a0a0" stroked="f"/>
        </w:pict>
      </w:r>
    </w:p>
    <w:p w14:paraId="2C043821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 xml:space="preserve">Why use </w:t>
      </w:r>
      <w:proofErr w:type="spellStart"/>
      <w:r w:rsidRPr="00617D4E">
        <w:rPr>
          <w:b/>
          <w:bCs/>
          <w:sz w:val="20"/>
          <w:szCs w:val="20"/>
        </w:rPr>
        <w:t>Treemap</w:t>
      </w:r>
      <w:proofErr w:type="spellEnd"/>
      <w:r w:rsidRPr="00617D4E">
        <w:rPr>
          <w:b/>
          <w:bCs/>
          <w:sz w:val="20"/>
          <w:szCs w:val="20"/>
        </w:rPr>
        <w:t xml:space="preserve"> instead of other plots?</w:t>
      </w:r>
    </w:p>
    <w:p w14:paraId="38EA17EA" w14:textId="77777777" w:rsidR="00617D4E" w:rsidRPr="00617D4E" w:rsidRDefault="00617D4E" w:rsidP="00617D4E">
      <w:pPr>
        <w:rPr>
          <w:sz w:val="20"/>
          <w:szCs w:val="20"/>
        </w:rPr>
      </w:pPr>
      <w:proofErr w:type="spellStart"/>
      <w:r w:rsidRPr="00617D4E">
        <w:rPr>
          <w:i/>
          <w:iCs/>
          <w:sz w:val="20"/>
          <w:szCs w:val="20"/>
        </w:rPr>
        <w:t>Treemaps</w:t>
      </w:r>
      <w:proofErr w:type="spellEnd"/>
      <w:r w:rsidRPr="00617D4E">
        <w:rPr>
          <w:i/>
          <w:iCs/>
          <w:sz w:val="20"/>
          <w:szCs w:val="20"/>
        </w:rPr>
        <w:t xml:space="preserve"> efficiently show two dimensions: size (mobility) and color (policy strength) in one compact space. Scatter plots or bar charts cannot show hierarchical drill-down and comparative magnitude simultaneously like a </w:t>
      </w:r>
      <w:proofErr w:type="spellStart"/>
      <w:r w:rsidRPr="00617D4E">
        <w:rPr>
          <w:i/>
          <w:iCs/>
          <w:sz w:val="20"/>
          <w:szCs w:val="20"/>
        </w:rPr>
        <w:t>treemap</w:t>
      </w:r>
      <w:proofErr w:type="spellEnd"/>
      <w:r w:rsidRPr="00617D4E">
        <w:rPr>
          <w:i/>
          <w:iCs/>
          <w:sz w:val="20"/>
          <w:szCs w:val="20"/>
        </w:rPr>
        <w:t>.</w:t>
      </w:r>
    </w:p>
    <w:p w14:paraId="07A44241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3BD3359E">
          <v:rect id="_x0000_i2095" style="width:0;height:1.5pt" o:hralign="center" o:hrstd="t" o:hr="t" fillcolor="#a0a0a0" stroked="f"/>
        </w:pict>
      </w:r>
    </w:p>
    <w:p w14:paraId="438E6DB6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Why Monthly Aggregation instead of Daily?</w:t>
      </w:r>
    </w:p>
    <w:p w14:paraId="4A13BE80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lastRenderedPageBreak/>
        <w:t>Daily data was too noisy — small fluctuations made the trends hard to interpret. Aggregating by month smoothed the trends naturally and made cross-country comparisons easier and more meaningful.</w:t>
      </w:r>
    </w:p>
    <w:p w14:paraId="7280171A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30BCB342">
          <v:rect id="_x0000_i2096" style="width:0;height:1.5pt" o:hralign="center" o:hrstd="t" o:hr="t" fillcolor="#a0a0a0" stroked="f"/>
        </w:pict>
      </w:r>
    </w:p>
    <w:p w14:paraId="37034226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Why add Hover Tooltips?</w:t>
      </w:r>
    </w:p>
    <w:p w14:paraId="130D6F78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t>Hover tooltips enhance user experience by providing precise numbers (e.g., exact mobility %, number of new cases) without cluttering the chart visually. It keeps the interface clean but still informative.</w:t>
      </w:r>
    </w:p>
    <w:p w14:paraId="057A02E6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5235C20B">
          <v:rect id="_x0000_i2097" style="width:0;height:1.5pt" o:hralign="center" o:hrstd="t" o:hr="t" fillcolor="#a0a0a0" stroked="f"/>
        </w:pict>
      </w:r>
    </w:p>
    <w:p w14:paraId="34CDDCCA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b/>
          <w:bCs/>
          <w:sz w:val="20"/>
          <w:szCs w:val="20"/>
        </w:rPr>
        <w:t>Why add Date Range Selectors, Dropdowns, and Filters?</w:t>
      </w:r>
    </w:p>
    <w:p w14:paraId="589C03CE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t>Giving users the ability to filter dates, countries, or policy strength allows for personalized exploration. It empowers users to focus on specific periods, regions, or events they care about.</w:t>
      </w:r>
    </w:p>
    <w:p w14:paraId="0E81866B" w14:textId="77777777" w:rsidR="00617D4E" w:rsidRPr="000111ED" w:rsidRDefault="00617D4E" w:rsidP="00617D4E">
      <w:pPr>
        <w:rPr>
          <w:sz w:val="20"/>
          <w:szCs w:val="20"/>
        </w:rPr>
      </w:pPr>
    </w:p>
    <w:p w14:paraId="0E6BF9B9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617D4E">
        <w:rPr>
          <w:b/>
          <w:bCs/>
          <w:sz w:val="20"/>
          <w:szCs w:val="20"/>
        </w:rPr>
        <w:t xml:space="preserve"> Limitations (Be Honest and Smart)</w:t>
      </w:r>
    </w:p>
    <w:p w14:paraId="5F57EABF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617D4E">
        <w:rPr>
          <w:b/>
          <w:bCs/>
          <w:sz w:val="20"/>
          <w:szCs w:val="20"/>
        </w:rPr>
        <w:t xml:space="preserve"> Data Discontinuity after October 15, 2022</w:t>
      </w:r>
    </w:p>
    <w:p w14:paraId="4AD59899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t>Google Mobility Reports were discontinued after October 15, 2022.</w:t>
      </w:r>
      <w:r w:rsidRPr="00617D4E">
        <w:rPr>
          <w:i/>
          <w:iCs/>
          <w:sz w:val="20"/>
          <w:szCs w:val="20"/>
        </w:rPr>
        <w:br/>
        <w:t>As a result, mobility values appear flat beyond this point because no new data was published.</w:t>
      </w:r>
    </w:p>
    <w:p w14:paraId="7F4BFF0B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rFonts w:ascii="Segoe UI Emoji" w:hAnsi="Segoe UI Emoji" w:cs="Segoe UI Emoji"/>
          <w:sz w:val="20"/>
          <w:szCs w:val="20"/>
        </w:rPr>
        <w:t>✅</w:t>
      </w:r>
      <w:r w:rsidRPr="00617D4E">
        <w:rPr>
          <w:sz w:val="20"/>
          <w:szCs w:val="20"/>
        </w:rPr>
        <w:t xml:space="preserve"> </w:t>
      </w:r>
      <w:r w:rsidRPr="00617D4E">
        <w:rPr>
          <w:i/>
          <w:iCs/>
          <w:sz w:val="20"/>
          <w:szCs w:val="20"/>
        </w:rPr>
        <w:t xml:space="preserve">I added clear information notes inside the </w:t>
      </w:r>
      <w:proofErr w:type="gramStart"/>
      <w:r w:rsidRPr="00617D4E">
        <w:rPr>
          <w:i/>
          <w:iCs/>
          <w:sz w:val="20"/>
          <w:szCs w:val="20"/>
        </w:rPr>
        <w:t>app</w:t>
      </w:r>
      <w:proofErr w:type="gramEnd"/>
      <w:r w:rsidRPr="00617D4E">
        <w:rPr>
          <w:i/>
          <w:iCs/>
          <w:sz w:val="20"/>
          <w:szCs w:val="20"/>
        </w:rPr>
        <w:t xml:space="preserve"> so users are aware and don’t misinterpret the flat trends.</w:t>
      </w:r>
    </w:p>
    <w:p w14:paraId="2184448E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192E1592">
          <v:rect id="_x0000_i2098" style="width:0;height:1.5pt" o:hralign="center" o:hrstd="t" o:hr="t" fillcolor="#a0a0a0" stroked="f"/>
        </w:pict>
      </w:r>
    </w:p>
    <w:p w14:paraId="6A46C34A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🔥</w:t>
      </w:r>
      <w:r w:rsidRPr="00617D4E">
        <w:rPr>
          <w:b/>
          <w:bCs/>
          <w:sz w:val="20"/>
          <w:szCs w:val="20"/>
        </w:rPr>
        <w:t xml:space="preserve"> Minor Missing Data</w:t>
      </w:r>
    </w:p>
    <w:p w14:paraId="37BEE791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t>Some countries or dates had missing mobility or policy data.</w:t>
      </w:r>
      <w:r w:rsidRPr="00617D4E">
        <w:rPr>
          <w:i/>
          <w:iCs/>
          <w:sz w:val="20"/>
          <w:szCs w:val="20"/>
        </w:rPr>
        <w:br/>
        <w:t>These were handled gracefully using aggregation (mean values) or interpolation where needed.</w:t>
      </w:r>
    </w:p>
    <w:p w14:paraId="31C67EEB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rFonts w:ascii="Segoe UI Emoji" w:hAnsi="Segoe UI Emoji" w:cs="Segoe UI Emoji"/>
          <w:sz w:val="20"/>
          <w:szCs w:val="20"/>
        </w:rPr>
        <w:t>✅</w:t>
      </w:r>
      <w:r w:rsidRPr="00617D4E">
        <w:rPr>
          <w:sz w:val="20"/>
          <w:szCs w:val="20"/>
        </w:rPr>
        <w:t xml:space="preserve"> </w:t>
      </w:r>
      <w:r w:rsidRPr="00617D4E">
        <w:rPr>
          <w:i/>
          <w:iCs/>
          <w:sz w:val="20"/>
          <w:szCs w:val="20"/>
        </w:rPr>
        <w:t>We chose not to artificially fill or fabricate missing information — only real, existing data was visualized.</w:t>
      </w:r>
    </w:p>
    <w:p w14:paraId="26FFBDA9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17FE360B">
          <v:rect id="_x0000_i2099" style="width:0;height:1.5pt" o:hralign="center" o:hrstd="t" o:hr="t" fillcolor="#a0a0a0" stroked="f"/>
        </w:pict>
      </w:r>
    </w:p>
    <w:p w14:paraId="3C1BD064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617D4E">
        <w:rPr>
          <w:b/>
          <w:bCs/>
          <w:sz w:val="20"/>
          <w:szCs w:val="20"/>
        </w:rPr>
        <w:t xml:space="preserve"> About Smoothing</w:t>
      </w:r>
    </w:p>
    <w:p w14:paraId="1216578F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i/>
          <w:iCs/>
          <w:sz w:val="20"/>
          <w:szCs w:val="20"/>
        </w:rPr>
        <w:t xml:space="preserve">We briefly tested smoothing (like </w:t>
      </w:r>
      <w:proofErr w:type="spellStart"/>
      <w:r w:rsidRPr="00617D4E">
        <w:rPr>
          <w:i/>
          <w:iCs/>
          <w:sz w:val="20"/>
          <w:szCs w:val="20"/>
        </w:rPr>
        <w:t>Savitzky</w:t>
      </w:r>
      <w:proofErr w:type="spellEnd"/>
      <w:r w:rsidRPr="00617D4E">
        <w:rPr>
          <w:i/>
          <w:iCs/>
          <w:sz w:val="20"/>
          <w:szCs w:val="20"/>
        </w:rPr>
        <w:t>-Golay filters) to reduce noise.</w:t>
      </w:r>
      <w:r w:rsidRPr="00617D4E">
        <w:rPr>
          <w:i/>
          <w:iCs/>
          <w:sz w:val="20"/>
          <w:szCs w:val="20"/>
        </w:rPr>
        <w:br/>
        <w:t>However, we kept the original unsmoothed trend as default to preserve data authenticity.</w:t>
      </w:r>
    </w:p>
    <w:p w14:paraId="7E29CA82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rFonts w:ascii="Segoe UI Emoji" w:hAnsi="Segoe UI Emoji" w:cs="Segoe UI Emoji"/>
          <w:sz w:val="20"/>
          <w:szCs w:val="20"/>
        </w:rPr>
        <w:t>✅</w:t>
      </w:r>
      <w:r w:rsidRPr="00617D4E">
        <w:rPr>
          <w:sz w:val="20"/>
          <w:szCs w:val="20"/>
        </w:rPr>
        <w:t xml:space="preserve"> </w:t>
      </w:r>
      <w:r w:rsidRPr="00617D4E">
        <w:rPr>
          <w:i/>
          <w:iCs/>
          <w:sz w:val="20"/>
          <w:szCs w:val="20"/>
        </w:rPr>
        <w:t>Users were given an option to view the smoothed line, but we did not manipulate the original values.</w:t>
      </w:r>
    </w:p>
    <w:p w14:paraId="6A6D3781" w14:textId="77777777" w:rsidR="00617D4E" w:rsidRPr="000111ED" w:rsidRDefault="00617D4E" w:rsidP="00617D4E">
      <w:pPr>
        <w:rPr>
          <w:sz w:val="20"/>
          <w:szCs w:val="20"/>
        </w:rPr>
      </w:pPr>
    </w:p>
    <w:p w14:paraId="69F2A471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🎤</w:t>
      </w:r>
      <w:r w:rsidRPr="00617D4E">
        <w:rPr>
          <w:b/>
          <w:bCs/>
          <w:sz w:val="20"/>
          <w:szCs w:val="20"/>
        </w:rPr>
        <w:t xml:space="preserve"> Demo Walkthrough Script</w:t>
      </w:r>
    </w:p>
    <w:p w14:paraId="1C9B7685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617D4E">
        <w:rPr>
          <w:b/>
          <w:bCs/>
          <w:sz w:val="20"/>
          <w:szCs w:val="20"/>
        </w:rPr>
        <w:t xml:space="preserve"> Global Overview Tab</w:t>
      </w:r>
    </w:p>
    <w:p w14:paraId="131E7C46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"This tab gives a worldwide view of mobility trends.</w:t>
      </w:r>
      <w:r w:rsidRPr="00617D4E">
        <w:rPr>
          <w:sz w:val="20"/>
          <w:szCs w:val="20"/>
        </w:rPr>
        <w:br/>
        <w:t xml:space="preserve">First, the line chart shows how global average mobility changed over time — we clearly see major drops </w:t>
      </w:r>
      <w:r w:rsidRPr="00617D4E">
        <w:rPr>
          <w:sz w:val="20"/>
          <w:szCs w:val="20"/>
        </w:rPr>
        <w:lastRenderedPageBreak/>
        <w:t>during early lockdowns and gradual recovery afterward.</w:t>
      </w:r>
      <w:r w:rsidRPr="00617D4E">
        <w:rPr>
          <w:sz w:val="20"/>
          <w:szCs w:val="20"/>
        </w:rPr>
        <w:br/>
        <w:t xml:space="preserve">The </w:t>
      </w:r>
      <w:proofErr w:type="spellStart"/>
      <w:r w:rsidRPr="00617D4E">
        <w:rPr>
          <w:sz w:val="20"/>
          <w:szCs w:val="20"/>
        </w:rPr>
        <w:t>treemap</w:t>
      </w:r>
      <w:proofErr w:type="spellEnd"/>
      <w:r w:rsidRPr="00617D4E">
        <w:rPr>
          <w:sz w:val="20"/>
          <w:szCs w:val="20"/>
        </w:rPr>
        <w:t xml:space="preserve"> combines mobility data with policy strictness scores, showing how stricter governments generally saw lower mobility."</w:t>
      </w:r>
    </w:p>
    <w:p w14:paraId="13924680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6FC6B3F3">
          <v:rect id="_x0000_i2100" style="width:0;height:1.5pt" o:hralign="center" o:hrstd="t" o:hr="t" fillcolor="#a0a0a0" stroked="f"/>
        </w:pict>
      </w:r>
    </w:p>
    <w:p w14:paraId="6DA75166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🌟</w:t>
      </w:r>
      <w:r w:rsidRPr="00617D4E">
        <w:rPr>
          <w:b/>
          <w:bCs/>
          <w:sz w:val="20"/>
          <w:szCs w:val="20"/>
        </w:rPr>
        <w:t xml:space="preserve"> Top Countries Tab</w:t>
      </w:r>
    </w:p>
    <w:p w14:paraId="46EA9909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"Here we focus on the top countries most impacted by COVID-19.</w:t>
      </w:r>
      <w:r w:rsidRPr="00617D4E">
        <w:rPr>
          <w:sz w:val="20"/>
          <w:szCs w:val="20"/>
        </w:rPr>
        <w:br/>
        <w:t>The Pareto chart compares total case counts and average mobility side-by-side on dual axes — helping us spot interesting patterns like countries with high mobility and high cases.</w:t>
      </w:r>
      <w:r w:rsidRPr="00617D4E">
        <w:rPr>
          <w:sz w:val="20"/>
          <w:szCs w:val="20"/>
        </w:rPr>
        <w:br/>
        <w:t>The funnel chart then ranks countries purely by how much movement their populations maintained."</w:t>
      </w:r>
    </w:p>
    <w:p w14:paraId="30FDC629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34F27215">
          <v:rect id="_x0000_i2101" style="width:0;height:1.5pt" o:hralign="center" o:hrstd="t" o:hr="t" fillcolor="#a0a0a0" stroked="f"/>
        </w:pict>
      </w:r>
    </w:p>
    <w:p w14:paraId="12A7EF36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🏳️</w:t>
      </w:r>
      <w:r w:rsidRPr="00617D4E">
        <w:rPr>
          <w:b/>
          <w:bCs/>
          <w:sz w:val="20"/>
          <w:szCs w:val="20"/>
        </w:rPr>
        <w:t xml:space="preserve"> Single Country Tab</w:t>
      </w:r>
    </w:p>
    <w:p w14:paraId="4F9095B3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"This section lets users explore any individual country in detail.</w:t>
      </w:r>
      <w:r w:rsidRPr="00617D4E">
        <w:rPr>
          <w:sz w:val="20"/>
          <w:szCs w:val="20"/>
        </w:rPr>
        <w:br/>
        <w:t>The dual-axis line chart overlays mobility trends and new COVID-19 case trends, helping analyze whether movement restrictions aligned with infection waves.</w:t>
      </w:r>
      <w:r w:rsidRPr="00617D4E">
        <w:rPr>
          <w:sz w:val="20"/>
          <w:szCs w:val="20"/>
        </w:rPr>
        <w:br/>
        <w:t>For example, the United States shows clear mobility dips during major COVID-19 surges."</w:t>
      </w:r>
    </w:p>
    <w:p w14:paraId="78CBDEDF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pict w14:anchorId="540F4C65">
          <v:rect id="_x0000_i2102" style="width:0;height:1.5pt" o:hralign="center" o:hrstd="t" o:hr="t" fillcolor="#a0a0a0" stroked="f"/>
        </w:pict>
      </w:r>
    </w:p>
    <w:p w14:paraId="403211F7" w14:textId="77777777" w:rsidR="00617D4E" w:rsidRPr="00617D4E" w:rsidRDefault="00617D4E" w:rsidP="00617D4E">
      <w:pPr>
        <w:rPr>
          <w:b/>
          <w:bCs/>
          <w:sz w:val="20"/>
          <w:szCs w:val="20"/>
        </w:rPr>
      </w:pPr>
      <w:r w:rsidRPr="00617D4E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617D4E">
        <w:rPr>
          <w:b/>
          <w:bCs/>
          <w:sz w:val="20"/>
          <w:szCs w:val="20"/>
        </w:rPr>
        <w:t xml:space="preserve"> </w:t>
      </w:r>
      <w:proofErr w:type="gramStart"/>
      <w:r w:rsidRPr="00617D4E">
        <w:rPr>
          <w:b/>
          <w:bCs/>
          <w:sz w:val="20"/>
          <w:szCs w:val="20"/>
        </w:rPr>
        <w:t>Multi-Country Tab</w:t>
      </w:r>
      <w:proofErr w:type="gramEnd"/>
    </w:p>
    <w:p w14:paraId="5BE7FB6F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"This final tab allows for country-to-country comparisons.</w:t>
      </w:r>
      <w:r w:rsidRPr="00617D4E">
        <w:rPr>
          <w:sz w:val="20"/>
          <w:szCs w:val="20"/>
        </w:rPr>
        <w:br/>
        <w:t>We can compare monthly mobility trends across multiple countries to see how different regions behaved.</w:t>
      </w:r>
      <w:r w:rsidRPr="00617D4E">
        <w:rPr>
          <w:sz w:val="20"/>
          <w:szCs w:val="20"/>
        </w:rPr>
        <w:br/>
        <w:t>The bar chart further shows average annual mobility, letting us rank countries by their overall movement in a selected year."</w:t>
      </w:r>
    </w:p>
    <w:p w14:paraId="1D1FD42B" w14:textId="77777777" w:rsidR="00617D4E" w:rsidRPr="000111ED" w:rsidRDefault="00617D4E" w:rsidP="00617D4E">
      <w:pPr>
        <w:rPr>
          <w:sz w:val="20"/>
          <w:szCs w:val="20"/>
        </w:rPr>
      </w:pPr>
    </w:p>
    <w:p w14:paraId="091233D2" w14:textId="77777777" w:rsidR="00617D4E" w:rsidRPr="000111ED" w:rsidRDefault="00617D4E" w:rsidP="00617D4E">
      <w:pPr>
        <w:rPr>
          <w:sz w:val="20"/>
          <w:szCs w:val="20"/>
        </w:rPr>
      </w:pPr>
    </w:p>
    <w:p w14:paraId="50B80361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At the end of your part, close with something like:</w:t>
      </w:r>
    </w:p>
    <w:p w14:paraId="3E668C96" w14:textId="77777777" w:rsidR="00617D4E" w:rsidRPr="00617D4E" w:rsidRDefault="00617D4E" w:rsidP="00617D4E">
      <w:pPr>
        <w:rPr>
          <w:sz w:val="20"/>
          <w:szCs w:val="20"/>
        </w:rPr>
      </w:pPr>
      <w:r w:rsidRPr="00617D4E">
        <w:rPr>
          <w:sz w:val="20"/>
          <w:szCs w:val="20"/>
        </w:rPr>
        <w:t>"Overall, the goal was to not just present the data, but to tell a clear story through visualization — and I believe this dashboard successfully achieves that."</w:t>
      </w:r>
    </w:p>
    <w:p w14:paraId="22E24DE3" w14:textId="77777777" w:rsidR="00617D4E" w:rsidRPr="000111ED" w:rsidRDefault="00617D4E" w:rsidP="00617D4E">
      <w:pPr>
        <w:rPr>
          <w:sz w:val="20"/>
          <w:szCs w:val="20"/>
        </w:rPr>
      </w:pPr>
    </w:p>
    <w:sectPr w:rsidR="00617D4E" w:rsidRPr="0001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4606"/>
    <w:multiLevelType w:val="multilevel"/>
    <w:tmpl w:val="1358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C16DD"/>
    <w:multiLevelType w:val="multilevel"/>
    <w:tmpl w:val="A5F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33697"/>
    <w:multiLevelType w:val="multilevel"/>
    <w:tmpl w:val="165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85058"/>
    <w:multiLevelType w:val="multilevel"/>
    <w:tmpl w:val="E86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5341">
    <w:abstractNumId w:val="1"/>
  </w:num>
  <w:num w:numId="2" w16cid:durableId="1975408102">
    <w:abstractNumId w:val="3"/>
  </w:num>
  <w:num w:numId="3" w16cid:durableId="866791595">
    <w:abstractNumId w:val="0"/>
  </w:num>
  <w:num w:numId="4" w16cid:durableId="382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4E"/>
    <w:rsid w:val="000111ED"/>
    <w:rsid w:val="00617D4E"/>
    <w:rsid w:val="00744530"/>
    <w:rsid w:val="00997F75"/>
    <w:rsid w:val="00A46814"/>
    <w:rsid w:val="00B176F0"/>
    <w:rsid w:val="00B3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9C74"/>
  <w15:chartTrackingRefBased/>
  <w15:docId w15:val="{CCE04FCF-E16A-47D1-A4CD-3F01FDE0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D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2025-04-27T20:21:00Z</dcterms:created>
  <dcterms:modified xsi:type="dcterms:W3CDTF">2025-04-27T21:10:00Z</dcterms:modified>
</cp:coreProperties>
</file>