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hd w:val="clear" w:color="auto" w:fill="00B0F0"/>
      </w:pPr>
      <w:r>
        <w:rPr>
          <w:rFonts w:ascii="Space Grotesk" w:hAnsi="Space Grotesk"/>
          <w:b/>
          <w:color w:val="FFFFFF"/>
          <w:sz w:val="18"/>
        </w:rPr>
        <w:t>POST-BITE</w:t>
      </w:r>
    </w:p>
    <w:p>
      <w:pPr>
        <w:spacing w:before="120" w:after="120"/>
        <w:jc w:val="left"/>
        <w:shd w:val="clear" w:color="auto" w:fill="0D006A"/>
      </w:pPr>
      <w:r>
        <w:rPr>
          <w:rFonts w:ascii="Space Grotesk" w:hAnsi="Space Grotesk"/>
          <w:b/>
          <w:color w:val="FFFFFF"/>
          <w:sz w:val="44"/>
        </w:rPr>
        <w:t>Your Prompt Engineering Playbook</w:t>
      </w:r>
    </w:p>
    <w:p>
      <w:pPr>
        <w:spacing w:after="320"/>
      </w:pPr>
      <w:r>
        <w:rPr>
          <w:rFonts w:ascii="Space Grotesk" w:hAnsi="Space Grotesk"/>
          <w:i/>
          <w:color w:val="262626"/>
          <w:sz w:val="20"/>
        </w:rPr>
        <w:t>Key takeaways, next steps, and everything you need to keep building after today's session</w:t>
      </w:r>
    </w:p>
    <w:p>
      <w:pPr>
        <w:spacing w:before="280" w:after="80"/>
        <w:pBdr>
          <w:bottom w:val="single" w:sz="6" w:space="1" w:color="00B0F0"/>
        </w:pBdr>
      </w:pPr>
      <w:r>
        <w:rPr>
          <w:rFonts w:ascii="Space Grotesk" w:hAnsi="Space Grotesk"/>
          <w:b/>
          <w:color w:val="0D006A"/>
          <w:sz w:val="22"/>
        </w:rPr>
        <w:t>KEY TAKEAWAYS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A prompt is a written briefing document, not a search query — AI executes your instructions literally, so precision is everything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The RTCFC framework (Role, Task, Context, Format, Constraints) gives your prompt all five building blocks needed to produce a usable first draft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A strong Role does more than name a job title — it defines a voice, expertise level, and creative direction that shapes the entire output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Context includes both demographics and psychographics; knowing your audience is sceptical of greenwashing, for example, changes the copy completely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Your first prompt is a draft, not a demand — diagnose which of the 5 blocks was unclear before you rewrite, and change one block at a time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A personal prompt library of reusable RTCFC templates with placeholders turns a one-off exercise into a permanent time-saving system</w:t>
      </w:r>
    </w:p>
    <w:p>
      <w:pPr>
        <w:spacing w:before="280" w:after="80"/>
        <w:pBdr>
          <w:bottom w:val="single" w:sz="6" w:space="1" w:color="00B0F0"/>
        </w:pBdr>
      </w:pPr>
      <w:r>
        <w:rPr>
          <w:rFonts w:ascii="Space Grotesk" w:hAnsi="Space Grotesk"/>
          <w:b/>
          <w:color w:val="0D006A"/>
          <w:sz w:val="22"/>
        </w:rPr>
        <w:t>SESSION SUMMARY</w:t>
      </w:r>
    </w:p>
    <w:p>
      <w:pPr>
        <w:spacing w:after="160"/>
      </w:pPr>
      <w:r>
        <w:rPr>
          <w:rFonts w:ascii="Space Grotesk" w:hAnsi="Space Grotesk"/>
          <w:color w:val="1A0040"/>
          <w:sz w:val="21"/>
        </w:rPr>
        <w:t>Today you moved from instinctive, keyword-style AI instructions to structured, brief-quality prompts using the RTCFC framework. You practised on real marketing tasks, peer-reviewed each other's prompts to spot missing blocks, competed in a group prompt sprint, and built the foundation of a personal prompt library. The core insight from the session: the quality of your AI output is a direct reflection of the quality of your brief — and as marketers you already know how to write a great brief.</w:t>
      </w:r>
    </w:p>
    <w:p>
      <w:pPr>
        <w:spacing w:before="280" w:after="80"/>
        <w:pBdr>
          <w:bottom w:val="single" w:sz="6" w:space="1" w:color="00B0F0"/>
        </w:pBdr>
      </w:pPr>
      <w:r>
        <w:rPr>
          <w:rFonts w:ascii="Space Grotesk" w:hAnsi="Space Grotesk"/>
          <w:b/>
          <w:color w:val="0D006A"/>
          <w:sz w:val="22"/>
        </w:rPr>
        <w:t>NEXT STEPS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Week 1 — Use the RTCFC framework for every AI task this week, even if it feels slower than your old approach. Building the habit now pays off from week two onwards.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Week 2 — Each time you complete a repeating task using a prompt, save that prompt as a reusable template in the shared team folder with placeholders for variable information such as [PRODUCT NAME], [LAUNCH DATE], and [TARGET SEGMENT].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Week 3 — Share your single best-performing prompt with at least one colleague, ask for one improvement suggestion, and update your template based on their feedback.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Within 30 days — Aim to have at least 3 tested, reusable RTCFC prompt templates covering your most frequent marketing tasks, stored in the shared team folder so the whole team benefits.</w:t>
      </w:r>
    </w:p>
    <w:p>
      <w:pPr>
        <w:spacing w:before="280" w:after="80"/>
        <w:pBdr>
          <w:bottom w:val="single" w:sz="6" w:space="1" w:color="00B0F0"/>
        </w:pBdr>
      </w:pPr>
      <w:r>
        <w:rPr>
          <w:rFonts w:ascii="Space Grotesk" w:hAnsi="Space Grotesk"/>
          <w:b/>
          <w:color w:val="0D006A"/>
          <w:sz w:val="22"/>
        </w:rPr>
        <w:t>RESOURCES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RTCFC Cheat Sheet — one-page reference card with all 5 building blocks and example fill-ins for social, email, blog, ad copy, and briefing tasks (attached to this message or available in the shared folder)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Prompt Template Starter Pack — 5 ready-made RTCFC templates for Instagram captions, email subject lines, blog outlines, ad copy, and creative briefing documents (available in the shared team folder)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Shared Team Prompt Library — add your best prompts here so colleagues can use, adapt, and improve them; link shared via chat and email follow-up</w:t>
      </w:r>
    </w:p>
    <w:p>
      <w:pPr>
        <w:pStyle w:val="ListBullet"/>
        <w:spacing w:after="80"/>
      </w:pPr>
      <w:r>
        <w:rPr>
          <w:rFonts w:ascii="Space Grotesk" w:hAnsi="Space Grotesk"/>
          <w:color w:val="1A0040"/>
          <w:sz w:val="21"/>
        </w:rPr>
        <w:t>Maverx follow-up support — if a prompt is not producing the output you need, bring the prompt and the output to your manager or the Maverx contact for a quick diagnostic session</w:t>
      </w:r>
    </w:p>
    <w:p/>
    <w:p>
      <w:pPr>
        <w:spacing w:before="80" w:after="80"/>
        <w:shd w:val="clear" w:color="auto" w:fill="000000"/>
        <w:ind w:left="288" w:right="288"/>
      </w:pPr>
      <w:r>
        <w:rPr>
          <w:rFonts w:ascii="Space Grotesk" w:hAnsi="Space Grotesk"/>
          <w:b/>
          <w:color w:val="0D006A"/>
          <w:sz w:val="20"/>
        </w:rPr>
        <w:t xml:space="preserve">Reflect:  </w:t>
      </w:r>
      <w:r>
        <w:rPr>
          <w:rFonts w:ascii="Space Grotesk" w:hAnsi="Space Grotesk"/>
          <w:color w:val="0D006A"/>
          <w:sz w:val="20"/>
        </w:rPr>
        <w:t>Choose one prompt you built during today's session and run it again on a real task next week. After you see the output, ask yourself: which of the 5 RTCFC blocks could be made more specific — and what would change in the output if you improved it?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