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Georgia" w:cs="Georgia" w:eastAsia="Georgia" w:hAnsi="Georgia"/>
          <w:b/>
          <w:bCs/>
          <w:color w:val="3A867C"/>
          <w:sz w:val="24"/>
          <w:szCs w:val="24"/>
        </w:rPr>
        <w:t xml:space="preserve">WAUSAU PILOT &amp; REVIEW</w:t>
      </w:r>
    </w:p>
    <w:p>
      <w:pPr>
        <w:pBdr>
          <w:bottom w:val="single" w:color="3A867C" w:sz="12" w:space="2"/>
        </w:pBdr>
        <w:spacing w:after="22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Internal editorial memo</w:t>
      </w:r>
    </w:p>
    <w:p>
      <w:pPr>
        <w:pStyle w:val="Heading1"/>
      </w:pPr>
      <w:r>
        <w:rPr>
          <w:rFonts w:ascii="Georgia" w:cs="Georgia" w:eastAsia="Georgia" w:hAnsi="Georgia"/>
          <w:b/>
          <w:bCs/>
          <w:color w:val="1A1A1A"/>
          <w:sz w:val="34"/>
          <w:szCs w:val="34"/>
        </w:rPr>
        <w:t xml:space="preserve">Memorandum</w:t>
      </w:r>
    </w:p>
    <w:p>
      <w:pPr>
        <w:tabs>
          <w:tab w:val="left" w:pos="1100"/>
        </w:tabs>
        <w:spacing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TO: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[Editor], Wausau Pilot &amp; Review</w:t>
      </w:r>
    </w:p>
    <w:p>
      <w:pPr>
        <w:tabs>
          <w:tab w:val="left" w:pos="1100"/>
        </w:tabs>
        <w:spacing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FROM: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Rowan, Development &amp; Technical Lead</w:t>
      </w:r>
    </w:p>
    <w:p>
      <w:pPr>
        <w:tabs>
          <w:tab w:val="left" w:pos="1100"/>
        </w:tabs>
        <w:spacing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DATE: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June 7, 2026</w:t>
      </w:r>
    </w:p>
    <w:p>
      <w:pPr>
        <w:tabs>
          <w:tab w:val="left" w:pos="1100"/>
        </w:tabs>
        <w:spacing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RE: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Property Transactions tool — what to publish, and how</w:t>
      </w:r>
    </w:p>
    <w:p>
      <w:pPr>
        <w:pBdr>
          <w:bottom w:val="single" w:color="D8D2C4" w:sz="6" w:space="4"/>
        </w:pBdr>
        <w:spacing w:after="0" w:before="160"/>
      </w:pPr>
    </w:p>
    <w:p>
      <w:pPr>
        <w:spacing w:after="120" w:before="1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We’re building a Marathon County property-transactions feature from Wisconsin Department of Revenue public records — the same real-estate-transfer data behind the print “property transfers” columns other papers run. Our version is richer: it includes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sale prices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which those columns usually omit. Before we design what readers see, I need an editorial decision from you on how much to publish. This memo lays out the choices and a recommended starting point.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Nothing here is permanent. Every setting below is a configuration choice we can change later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without rebuilding the tool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so we can start conservative and loosen it, or the reverse, at any time.</w:t>
      </w: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3A867C"/>
          <w:sz w:val="26"/>
          <w:szCs w:val="26"/>
        </w:rPr>
        <w:t xml:space="preserve">Why this needs your call: public is not the same as obscure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These are public records, so the question isn’t whether we’re allowed to publish them — we are. The real question is the difference between a print column and a searchable website. A print column is gone tomorrow and hard to search. A web tool is permanent, shows up in Google, can be pinned to an exact house on a map, and lets anyone look up a specific person in seconds. Same records, very different exposure. The decisions below are about where WPR wants to sit on that spectrum.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Three facts about the data that shape the choices: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About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45% of records aren’t real sales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they’re $0 transfers into family trusts, estate settlements, and paperwork corrections.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typical real sale in the county is around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$210,000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record can include buyer and seller names, the exact property street address, the price, and even the seller’s separate mailing address.</w:t>
      </w: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3A867C"/>
          <w:sz w:val="26"/>
          <w:szCs w:val="26"/>
        </w:rPr>
        <w:t xml:space="preserve">The five decisions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1. Which records to publish.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Roughly 45% of the data are $0 non-sales (trust, estate, and correction filings). Publishing “J. Smith → Smith Family Trust, $0” has little news value and quietly exposes someone’s estate planning. </w:t>
      </w:r>
      <w:r>
        <w:rPr>
          <w:rFonts w:ascii="Arial" w:cs="Arial" w:eastAsia="Arial" w:hAnsi="Arial"/>
          <w:b/>
          <w:bCs/>
          <w:color w:val="3A867C"/>
          <w:sz w:val="22"/>
          <w:szCs w:val="22"/>
        </w:rPr>
        <w:t xml:space="preserve">Recommended: publish genuine sales only.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 Price floor.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 small floor strips out $1 and nominal transfers. The caution is setting it too high, which would hide modest but newsworthy sales — small homes, mobile homes, vacant lots. </w:t>
      </w:r>
      <w:r>
        <w:rPr>
          <w:rFonts w:ascii="Arial" w:cs="Arial" w:eastAsia="Arial" w:hAnsi="Arial"/>
          <w:b/>
          <w:bCs/>
          <w:color w:val="3A867C"/>
          <w:sz w:val="22"/>
          <w:szCs w:val="22"/>
        </w:rPr>
        <w:t xml:space="preserve">Recommended: no floor, or a low one (about $1,000).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 How precisely we show the address.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data gives the exact street address. The exposure that matters is the combination of a named buyer + exact address + price + a map pin — it tells a stranger exactly where someone just moved and how much money changed hands, permanently and searchably. Relaxing this one setting removes most of the risk while keeping the column readable. </w:t>
      </w:r>
      <w:r>
        <w:rPr>
          <w:rFonts w:ascii="Arial" w:cs="Arial" w:eastAsia="Arial" w:hAnsi="Arial"/>
          <w:b/>
          <w:bCs/>
          <w:color w:val="3A867C"/>
          <w:sz w:val="22"/>
          <w:szCs w:val="22"/>
        </w:rPr>
        <w:t xml:space="preserve">Recommended: show street or block (e.g., “900 block of O’Keefe Dr”), not the exact house number.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 Seller and buyer mailing addresses.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records also contain the parties’ mailing and tax-bill addresses, which often reveal where the seller currently lives — a different home than the one sold. </w:t>
      </w:r>
      <w:r>
        <w:rPr>
          <w:rFonts w:ascii="Arial" w:cs="Arial" w:eastAsia="Arial" w:hAnsi="Arial"/>
          <w:b/>
          <w:bCs/>
          <w:color w:val="3A867C"/>
          <w:sz w:val="22"/>
          <w:szCs w:val="22"/>
        </w:rPr>
        <w:t xml:space="preserve">Recommended: never publish these; show only the property itself.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5. The map.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 pin on an individual house labeled with a name and price is the single most exposing thing the tool could show. A community-level map — prices and sales activity by town or village — tells the actual civic story (where the market is moving) without targeting anyone. </w:t>
      </w:r>
      <w:r>
        <w:rPr>
          <w:rFonts w:ascii="Arial" w:cs="Arial" w:eastAsia="Arial" w:hAnsi="Arial"/>
          <w:b/>
          <w:bCs/>
          <w:color w:val="3A867C"/>
          <w:sz w:val="22"/>
          <w:szCs w:val="22"/>
        </w:rPr>
        <w:t xml:space="preserve">Recommended: a community-level map, with individual sales in a sortable table beneath it.</w:t>
      </w: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3A867C"/>
          <w:sz w:val="26"/>
          <w:szCs w:val="26"/>
        </w:rPr>
        <w:t xml:space="preserve">Recommended starting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3A867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24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3A867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default</w:t>
            </w:r>
          </w:p>
        </w:tc>
      </w:tr>
      <w:tr>
        <w:tc>
          <w:tcPr>
            <w:tcW w:type="dxa" w:w="312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E7F0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Records shown</w:t>
            </w:r>
          </w:p>
        </w:tc>
        <w:tc>
          <w:tcPr>
            <w:tcW w:type="dxa" w:w="624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Genuine sales only (exclude $0 trust / estate / correction filings)</w:t>
            </w:r>
          </w:p>
        </w:tc>
      </w:tr>
      <w:tr>
        <w:tc>
          <w:tcPr>
            <w:tcW w:type="dxa" w:w="312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E7F0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Price floor</w:t>
            </w:r>
          </w:p>
        </w:tc>
        <w:tc>
          <w:tcPr>
            <w:tcW w:type="dxa" w:w="624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None, or about $1,000 to drop nominal transfers</w:t>
            </w:r>
          </w:p>
        </w:tc>
      </w:tr>
      <w:tr>
        <w:tc>
          <w:tcPr>
            <w:tcW w:type="dxa" w:w="312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E7F0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Property address</w:t>
            </w:r>
          </w:p>
        </w:tc>
        <w:tc>
          <w:tcPr>
            <w:tcW w:type="dxa" w:w="624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Street or block level — no exact house number</w:t>
            </w:r>
          </w:p>
        </w:tc>
      </w:tr>
      <w:tr>
        <w:tc>
          <w:tcPr>
            <w:tcW w:type="dxa" w:w="312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E7F0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Party mailing addresses</w:t>
            </w:r>
          </w:p>
        </w:tc>
        <w:tc>
          <w:tcPr>
            <w:tcW w:type="dxa" w:w="624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Never published</w:t>
            </w:r>
          </w:p>
        </w:tc>
      </w:tr>
      <w:tr>
        <w:tc>
          <w:tcPr>
            <w:tcW w:type="dxa" w:w="312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E7F0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Names</w:t>
            </w:r>
          </w:p>
        </w:tc>
        <w:tc>
          <w:tcPr>
            <w:tcW w:type="dxa" w:w="624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Buyer and seller names included (the substance of the column)</w:t>
            </w:r>
          </w:p>
        </w:tc>
      </w:tr>
      <w:tr>
        <w:tc>
          <w:tcPr>
            <w:tcW w:type="dxa" w:w="312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E7F0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Map</w:t>
            </w:r>
          </w:p>
        </w:tc>
        <w:tc>
          <w:tcPr>
            <w:tcW w:type="dxa" w:w="624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Community level (by town/village) — no individual house pins</w:t>
            </w:r>
          </w:p>
        </w:tc>
      </w:tr>
      <w:tr>
        <w:tc>
          <w:tcPr>
            <w:tcW w:type="dxa" w:w="312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E7F0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Safeguards</w:t>
            </w:r>
          </w:p>
        </w:tc>
        <w:tc>
          <w:tcPr>
            <w:tcW w:type="dxa" w:w="624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Honor removal requests; suppress “Safe at Home” participants; consider keeping the tool out of Google’s index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short: useful but restrained. Readers get the real story — who’s buying, where, and for how much, by neighborhood — without the tool becoming a way to look up a named individual’s exact house and finances.</w:t>
      </w: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3A867C"/>
          <w:sz w:val="26"/>
          <w:szCs w:val="26"/>
        </w:rPr>
        <w:t xml:space="preserve">A note on the law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an editorial-ethics decision, not a legal-permission one. Wisconsin treats these transfer records as public, and truthful publication of lawfully obtained public records is strongly protected. (I’m not a lawyer; the one item I’d run by counsel is how to handle “Safe at Home” address-confidentiality participants, if that ever comes up.)</w:t>
      </w: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3A867C"/>
          <w:sz w:val="26"/>
          <w:szCs w:val="26"/>
        </w:rPr>
        <w:t xml:space="preserve">Decisions requested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Mark your preference on each — the defaults above are pre-noted, but every line is yours to change: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1. Records shown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Genuine sales only  (recommended)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transfers, labeled by type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 Price floor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None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About $1,000  (recommended)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Higher — specify: ____________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 Property address detail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Street / block, no house number  (recommended)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 street address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Town/village only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 Party mailing addresses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Never publish  (recommended)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Publish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5. Map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Community level by town/village  (recommended)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Individual house pins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map</w:t>
      </w:r>
    </w:p>
    <w:p>
      <w:pPr>
        <w:pBdr>
          <w:top w:val="single" w:color="D8D2C4" w:sz="6" w:space="6"/>
        </w:pBdr>
        <w:spacing w:after="0" w:before="240"/>
      </w:pPr>
    </w:p>
    <w:p>
      <w:pPr>
        <w:tabs>
          <w:tab w:val="left" w:pos="6000"/>
        </w:tabs>
        <w:spacing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Approved by: ______________________________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Date: ________________</w:t>
      </w:r>
    </w:p>
    <w:sectPr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Georgia" w:cs="Georgia" w:eastAsia="Georgia" w:hAnsi="Georgia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Georgia" w:cs="Georgia" w:eastAsia="Georgia" w:hAnsi="Georgia"/>
      <w:b/>
      <w:bCs/>
      <w:color w:val="3A867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2026-06-07T23:12:10.956Z</dcterms:created>
  <dcterms:modified xsi:type="dcterms:W3CDTF">2026-06-07T23:12:10.956Z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