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477A" w14:textId="77777777" w:rsidR="005653E0" w:rsidRDefault="00E65401">
      <w:pPr>
        <w:spacing w:after="60"/>
      </w:pPr>
      <w:r>
        <w:rPr>
          <w:b/>
          <w:bCs/>
          <w:color w:val="1F3864"/>
          <w:sz w:val="36"/>
          <w:szCs w:val="36"/>
        </w:rPr>
        <w:t>EXPERIENCE LETTER</w:t>
      </w:r>
    </w:p>
    <w:p w14:paraId="52E0477B" w14:textId="77777777" w:rsidR="005653E0" w:rsidRDefault="00E65401">
      <w:pPr>
        <w:spacing w:after="40"/>
      </w:pPr>
      <w:r>
        <w:rPr>
          <w:b/>
          <w:bCs/>
        </w:rPr>
        <w:t xml:space="preserve">Project: </w:t>
      </w:r>
      <w:r>
        <w:t>CSPM Transformation &amp; Shared-Responsibility Operating Model</w:t>
      </w:r>
      <w:r>
        <w:rPr>
          <w:color w:val="7F7F7F"/>
        </w:rPr>
        <w:t xml:space="preserve">   |   </w:t>
      </w:r>
      <w:r>
        <w:rPr>
          <w:b/>
          <w:bCs/>
        </w:rPr>
        <w:t xml:space="preserve">Role: </w:t>
      </w:r>
      <w:r>
        <w:t>Cloud Security Architect</w:t>
      </w:r>
    </w:p>
    <w:p w14:paraId="52E0477C" w14:textId="67B05EE7" w:rsidR="005653E0" w:rsidRDefault="00E65401">
      <w:pPr>
        <w:spacing w:after="60"/>
      </w:pPr>
      <w:r>
        <w:rPr>
          <w:b/>
          <w:bCs/>
        </w:rPr>
        <w:t xml:space="preserve">Organization: </w:t>
      </w:r>
      <w:r>
        <w:t>Fortune 500 Enterprise</w:t>
      </w:r>
      <w:r>
        <w:rPr>
          <w:color w:val="7F7F7F"/>
        </w:rPr>
        <w:t xml:space="preserve">|   </w:t>
      </w:r>
      <w:r>
        <w:rPr>
          <w:b/>
          <w:bCs/>
        </w:rPr>
        <w:t xml:space="preserve">Duration: </w:t>
      </w:r>
      <w:r>
        <w:t>October 2025 – January 2026 (~4 months)</w:t>
      </w:r>
      <w:r>
        <w:rPr>
          <w:color w:val="7F7F7F"/>
        </w:rPr>
        <w:t xml:space="preserve">   |   </w:t>
      </w:r>
      <w:r>
        <w:rPr>
          <w:b/>
          <w:bCs/>
        </w:rPr>
        <w:t xml:space="preserve">Engagement: </w:t>
      </w:r>
      <w:r>
        <w:t>Architecture &amp; Advisory</w:t>
      </w:r>
    </w:p>
    <w:p w14:paraId="52E0477D" w14:textId="77777777" w:rsidR="005653E0" w:rsidRDefault="005653E0">
      <w:pPr>
        <w:pBdr>
          <w:bottom w:val="single" w:sz="8" w:space="1" w:color="2E75B6"/>
        </w:pBdr>
        <w:spacing w:after="240"/>
      </w:pPr>
    </w:p>
    <w:p w14:paraId="52E0477E" w14:textId="77777777" w:rsidR="005653E0" w:rsidRDefault="00E65401">
      <w:pPr>
        <w:pStyle w:val="Heading1"/>
      </w:pPr>
      <w:r>
        <w:t>CONTEXT</w:t>
      </w:r>
    </w:p>
    <w:p w14:paraId="52E0477F" w14:textId="77777777" w:rsidR="005653E0" w:rsidRDefault="00E65401">
      <w:pPr>
        <w:spacing w:after="120"/>
      </w:pPr>
      <w:r>
        <w:t>Cloud security posture management (CSPM) across the enterprise was largely reactive and fragmented. Misconfigurations were predominantly surfaced and remediated after deployment, producing extended risk windows, accumulating technical debt for engineering teams, duplicated alerting across scanners, and limited enterprise visibility into true cloud security posture.</w:t>
      </w:r>
    </w:p>
    <w:p w14:paraId="52E04780" w14:textId="77777777" w:rsidR="005653E0" w:rsidRDefault="00E65401">
      <w:pPr>
        <w:spacing w:after="120"/>
      </w:pPr>
      <w:r>
        <w:t>Security, enterprise risk / GRC, DevSecOps &amp; platform engineering, and application teams operated in functional silos. There was no shared accountability model, no consistent measurement of control effectiveness or residual risk, and no common operating framework to drive remediation performance at scale. The scope of the engagement was enterprise-wide — spanning build, deploy, and runtime stages of the cloud lifecycle — with executive-level sponsorship expected from security and engineering leadership.</w:t>
      </w:r>
    </w:p>
    <w:p w14:paraId="52E04781" w14:textId="77777777" w:rsidR="005653E0" w:rsidRDefault="00E65401">
      <w:pPr>
        <w:spacing w:after="120"/>
      </w:pPr>
      <w:r>
        <w:t>If the program remained unchanged, the organization would continue to absorb a growing backlog of cloud misconfigurations, inconsistent control coverage against enterprise risk frameworks, and a fragmented response posture — limiting any future CNAPP or cloud-native security investment.</w:t>
      </w:r>
    </w:p>
    <w:p w14:paraId="52E04782" w14:textId="77777777" w:rsidR="005653E0" w:rsidRDefault="00E65401">
      <w:pPr>
        <w:pStyle w:val="Heading1"/>
      </w:pPr>
      <w:r>
        <w:t>APPROACH &amp; METHODOLOGY</w:t>
      </w:r>
    </w:p>
    <w:p w14:paraId="52E04783" w14:textId="77777777" w:rsidR="005653E0" w:rsidRDefault="00E65401">
      <w:pPr>
        <w:spacing w:after="120"/>
      </w:pPr>
      <w:r>
        <w:t>I architected a proactive, SDLC-integrated, risk-driven CSPM model that shifted security left into developer workflows while unifying remediation across the full cloud lifecycle. The design deliberately rejected a tool-led approach in favor of an operating-model-led approach: control baselines, ownership, and measurement first, with tooling mapped to the model afterward.</w:t>
      </w:r>
    </w:p>
    <w:p w14:paraId="52E04784" w14:textId="77777777" w:rsidR="005653E0" w:rsidRDefault="00E65401">
      <w:pPr>
        <w:spacing w:after="120"/>
      </w:pPr>
      <w:r>
        <w:t>Workflow design: Misconfiguration detection was integrated directly into pull-request reviews (developer-time feedback), post-merge findings were auto-routed into engineering sprint planning with SLA-aligned priorities, and runtime posture monitoring was consolidated into a single pane of glass to eliminate duplicate alerting across scanners.</w:t>
      </w:r>
    </w:p>
    <w:p w14:paraId="52E04785" w14:textId="77777777" w:rsidR="005653E0" w:rsidRDefault="00E65401">
      <w:pPr>
        <w:spacing w:after="120"/>
      </w:pPr>
      <w:r>
        <w:t>Shared-responsibility operating model: I defined a clear RACI delineating ownership across security architecture, enterprise risk / GRC, DevSecOps &amp; platform engineering, and application teams — ensuring that each control had a single accountable owner, a consulted risk partner, and an informed security oversight. This eliminated the historical gray zone between "who detects" and "who fixes."</w:t>
      </w:r>
    </w:p>
    <w:p w14:paraId="52E04786" w14:textId="77777777" w:rsidR="005653E0" w:rsidRDefault="00E65401">
      <w:pPr>
        <w:spacing w:after="120"/>
      </w:pPr>
      <w:r>
        <w:t>Centralized control baselines: I mapped the CSPM control catalog to enterprise risk frameworks — specifically NIST CSF, NIST SP 800-53, and CIS Benchmarks / CIS Controls — enabling automated measurement of control effectiveness and residual risk at the control, workload, and business-unit level. This turned posture management from a ticket count into a risk signal.</w:t>
      </w:r>
    </w:p>
    <w:p w14:paraId="52E04787" w14:textId="77777777" w:rsidR="005653E0" w:rsidRDefault="00E65401">
      <w:pPr>
        <w:spacing w:after="120"/>
      </w:pPr>
      <w:r>
        <w:t xml:space="preserve">Execution architecture: I produced execution-ready roadmaps, adoption waves, KPIs / KRIs, and the RACI model required to move the program from strategy into delivery. I actively </w:t>
      </w:r>
      <w:r>
        <w:lastRenderedPageBreak/>
        <w:t>socialized the design with senior stakeholders across the CISO / Deputy CISO office, Head of Security Architecture, VP / Head of DevSecOps and Platform Engineering, and the Head of Enterprise Risk / GRC — iterating the model so it addressed both security outcomes and engineering realities (developer ergonomics, sprint cadence, platform constraints).</w:t>
      </w:r>
    </w:p>
    <w:p w14:paraId="52E04788" w14:textId="77777777" w:rsidR="005653E0" w:rsidRDefault="00E65401">
      <w:pPr>
        <w:pStyle w:val="Heading1"/>
      </w:pPr>
      <w:r>
        <w:t>KEY DELIVERABLES</w:t>
      </w:r>
    </w:p>
    <w:p w14:paraId="52E04789" w14:textId="77777777" w:rsidR="005653E0" w:rsidRDefault="00E65401">
      <w:pPr>
        <w:pStyle w:val="ListParagraph"/>
        <w:numPr>
          <w:ilvl w:val="0"/>
          <w:numId w:val="2"/>
        </w:numPr>
        <w:spacing w:after="80"/>
      </w:pPr>
      <w:r>
        <w:t>CSPM Transformation Architecture — target-state operating model covering build, deploy, and runtime, consumed by security leadership and engineering leadership as the anchor artifact for the program.</w:t>
      </w:r>
    </w:p>
    <w:p w14:paraId="52E0478A" w14:textId="77777777" w:rsidR="005653E0" w:rsidRDefault="00E65401">
      <w:pPr>
        <w:pStyle w:val="ListParagraph"/>
        <w:numPr>
          <w:ilvl w:val="0"/>
          <w:numId w:val="2"/>
        </w:numPr>
        <w:spacing w:after="80"/>
      </w:pPr>
      <w:r>
        <w:t>Shared-Responsibility RACI &amp; Operating Framework — ownership matrix across security architecture, risk / GRC, DevSecOps, platform engineering, and application teams; living document governing day-to-day execution.</w:t>
      </w:r>
    </w:p>
    <w:p w14:paraId="52E0478B" w14:textId="77777777" w:rsidR="005653E0" w:rsidRDefault="00E65401">
      <w:pPr>
        <w:pStyle w:val="ListParagraph"/>
        <w:numPr>
          <w:ilvl w:val="0"/>
          <w:numId w:val="2"/>
        </w:numPr>
        <w:spacing w:after="80"/>
      </w:pPr>
      <w:r>
        <w:t>Centralized Control Baseline Catalog — control set mapped to NIST CSF, NIST 800-53, and CIS Benchmarks, enabling automated effectiveness and residual-risk measurement.</w:t>
      </w:r>
    </w:p>
    <w:p w14:paraId="52E0478C" w14:textId="77777777" w:rsidR="005653E0" w:rsidRDefault="00E65401">
      <w:pPr>
        <w:pStyle w:val="ListParagraph"/>
        <w:numPr>
          <w:ilvl w:val="0"/>
          <w:numId w:val="2"/>
        </w:numPr>
        <w:spacing w:after="80"/>
      </w:pPr>
      <w:r>
        <w:t>SDLC-Integrated CSPM Workflow Design — pull-request-time checks, post-merge sprint-routing logic, and consolidated runtime monitoring pattern.</w:t>
      </w:r>
    </w:p>
    <w:p w14:paraId="52E0478D" w14:textId="77777777" w:rsidR="005653E0" w:rsidRDefault="00E65401">
      <w:pPr>
        <w:pStyle w:val="ListParagraph"/>
        <w:numPr>
          <w:ilvl w:val="0"/>
          <w:numId w:val="2"/>
        </w:numPr>
        <w:spacing w:after="80"/>
      </w:pPr>
      <w:r>
        <w:t>Execution Roadmap &amp; KPI / KRI Pack — adoption waves, metric definitions, and leadership dashboards feeding CISO and engineering leadership reviews.</w:t>
      </w:r>
    </w:p>
    <w:p w14:paraId="52E0478E" w14:textId="77777777" w:rsidR="005653E0" w:rsidRDefault="00E65401">
      <w:pPr>
        <w:pStyle w:val="ListParagraph"/>
        <w:numPr>
          <w:ilvl w:val="0"/>
          <w:numId w:val="2"/>
        </w:numPr>
        <w:spacing w:after="80"/>
      </w:pPr>
      <w:r>
        <w:t>Executive socialization artifacts — narrative decks and briefing documents used in CISO, Security Architecture, DevSecOps, and Enterprise Risk forums to secure alignment and sponsorship.</w:t>
      </w:r>
    </w:p>
    <w:p w14:paraId="52E0478F" w14:textId="77777777" w:rsidR="005653E0" w:rsidRDefault="00E65401">
      <w:pPr>
        <w:pStyle w:val="Heading1"/>
      </w:pPr>
      <w:r>
        <w:t>TECHNOLOGY LANDSCAPE</w:t>
      </w:r>
    </w:p>
    <w:p w14:paraId="52E04790" w14:textId="77777777" w:rsidR="005653E0" w:rsidRDefault="00E65401">
      <w:pPr>
        <w:spacing w:after="120"/>
      </w:pPr>
      <w:r>
        <w:t>Primary CSPM / cloud-native security tooling aligned to the operating model: Microsoft Defender for Cloud (multi-cloud posture and workload protection), Aqua (container and cloud-native workload security), Snyk (developer-time SAST / SCA / IaC scanning), and GitHub Advanced Security (secret scanning, code scanning, dependency review at source).</w:t>
      </w:r>
    </w:p>
    <w:p w14:paraId="52E04791" w14:textId="77777777" w:rsidR="005653E0" w:rsidRDefault="00E65401">
      <w:pPr>
        <w:spacing w:after="120"/>
      </w:pPr>
      <w:r>
        <w:t>Risk and control frameworks referenced for baseline mapping and effectiveness measurement: NIST Cybersecurity Framework (CSF), NIST SP 800-53, and CIS Benchmarks / CIS Controls.</w:t>
      </w:r>
    </w:p>
    <w:p w14:paraId="52E04792" w14:textId="77777777" w:rsidR="005653E0" w:rsidRDefault="00E65401">
      <w:pPr>
        <w:spacing w:after="120"/>
      </w:pPr>
      <w:r>
        <w:t>Domains covered by the architecture: Cloud Security Posture Management (CSPM), Cloud-Native Application Protection (CNAPP direction-of-travel), Shift-Left / DevSecOps, IaC Security, Container &amp; Workload Security, Application Security, SDLC Security, Control Effectiveness &amp; Residual Risk Measurement, and Cloud Governance.</w:t>
      </w:r>
    </w:p>
    <w:p w14:paraId="52E04793" w14:textId="77777777" w:rsidR="005653E0" w:rsidRDefault="00E65401">
      <w:pPr>
        <w:pStyle w:val="Heading1"/>
      </w:pPr>
      <w:r>
        <w:t>STAKEHOLDER ENGAGEMENT</w:t>
      </w:r>
    </w:p>
    <w:p w14:paraId="52E04794" w14:textId="77777777" w:rsidR="005653E0" w:rsidRDefault="00E65401">
      <w:pPr>
        <w:spacing w:after="120"/>
      </w:pPr>
      <w:r>
        <w:t>Presented to and aligned with: CISO and Deputy CISO office; Head of Security Architecture; VP / Head of DevSecOps and Platform Engineering; Head of Enterprise Risk / GRC. Collaborated day-to-day with security architects, DevSecOps engineers, platform engineering leads, application security partners, and risk / GRC analysts. Influenced the working patterns of application engineering teams whose remediation work was repositioned inside sprint planning rather than handled as post-hoc security tickets.</w:t>
      </w:r>
    </w:p>
    <w:p w14:paraId="52E04795" w14:textId="77777777" w:rsidR="005653E0" w:rsidRDefault="00E65401">
      <w:pPr>
        <w:pStyle w:val="Heading1"/>
      </w:pPr>
      <w:r>
        <w:t>LEADERSHIP &amp; CROSS-FUNCTIONAL ACTIVITIES</w:t>
      </w:r>
    </w:p>
    <w:p w14:paraId="52E04796" w14:textId="77777777" w:rsidR="005653E0" w:rsidRDefault="00E65401">
      <w:pPr>
        <w:pStyle w:val="ListParagraph"/>
        <w:numPr>
          <w:ilvl w:val="0"/>
          <w:numId w:val="2"/>
        </w:numPr>
        <w:spacing w:after="80"/>
      </w:pPr>
      <w:r>
        <w:lastRenderedPageBreak/>
        <w:t>Led architecture and design of the enterprise CSPM operating model end-to-end, acting as the single technical owner of the target state.</w:t>
      </w:r>
    </w:p>
    <w:p w14:paraId="52E04797" w14:textId="77777777" w:rsidR="005653E0" w:rsidRDefault="00E65401">
      <w:pPr>
        <w:pStyle w:val="ListParagraph"/>
        <w:numPr>
          <w:ilvl w:val="0"/>
          <w:numId w:val="2"/>
        </w:numPr>
        <w:spacing w:after="80"/>
      </w:pPr>
      <w:r>
        <w:t>Chaired working sessions with DevSecOps, platform engineering, and application security to pressure-test the RACI and the SDLC integration pattern against real engineering workflows.</w:t>
      </w:r>
    </w:p>
    <w:p w14:paraId="52E04798" w14:textId="77777777" w:rsidR="005653E0" w:rsidRDefault="00E65401">
      <w:pPr>
        <w:pStyle w:val="ListParagraph"/>
        <w:numPr>
          <w:ilvl w:val="0"/>
          <w:numId w:val="2"/>
        </w:numPr>
        <w:spacing w:after="80"/>
      </w:pPr>
      <w:r>
        <w:t>Briefed the CISO / Deputy CISO and the Head of Security Architecture on design trade-offs, securing visible executive support for the shared-responsibility model.</w:t>
      </w:r>
    </w:p>
    <w:p w14:paraId="52E04799" w14:textId="77777777" w:rsidR="005653E0" w:rsidRDefault="00E65401">
      <w:pPr>
        <w:pStyle w:val="ListParagraph"/>
        <w:numPr>
          <w:ilvl w:val="0"/>
          <w:numId w:val="2"/>
        </w:numPr>
        <w:spacing w:after="80"/>
      </w:pPr>
      <w:r>
        <w:t>Partnered with Enterprise Risk / GRC to align the control baseline to NIST CSF, NIST 800-53, and CIS Benchmarks — translating the CSPM catalog into a language risk leadership could govern against.</w:t>
      </w:r>
    </w:p>
    <w:p w14:paraId="52E0479A" w14:textId="77777777" w:rsidR="005653E0" w:rsidRDefault="00E65401">
      <w:pPr>
        <w:pStyle w:val="ListParagraph"/>
        <w:numPr>
          <w:ilvl w:val="0"/>
          <w:numId w:val="2"/>
        </w:numPr>
        <w:spacing w:after="80"/>
      </w:pPr>
      <w:r>
        <w:t>Drove cross-functional consensus between historically siloed teams — a prerequisite for any future CNAPP / cloud-native security investment — by anchoring discussion on ownership and measurement rather than on tooling.</w:t>
      </w:r>
    </w:p>
    <w:p w14:paraId="52E0479B" w14:textId="77777777" w:rsidR="005653E0" w:rsidRDefault="00E65401">
      <w:pPr>
        <w:pStyle w:val="ListParagraph"/>
        <w:numPr>
          <w:ilvl w:val="0"/>
          <w:numId w:val="2"/>
        </w:numPr>
        <w:spacing w:after="80"/>
      </w:pPr>
      <w:r>
        <w:t>Produced execution-ready artifacts (roadmap, KPIs / KRIs, RACI, adoption waves) that enabled the program to move from strategy into delivery without a re-scoping phase.</w:t>
      </w:r>
    </w:p>
    <w:p w14:paraId="52E0479C" w14:textId="77777777" w:rsidR="005653E0" w:rsidRDefault="00E65401">
      <w:pPr>
        <w:pStyle w:val="Heading1"/>
      </w:pPr>
      <w:r>
        <w:t>IMPACT &amp; OUTCOMES</w:t>
      </w:r>
    </w:p>
    <w:p w14:paraId="52E0479D" w14:textId="77777777" w:rsidR="005653E0" w:rsidRDefault="00E65401">
      <w:pPr>
        <w:spacing w:after="120"/>
      </w:pPr>
      <w:r>
        <w:t>Quantitative (directional estimates for a ~4-month architecture &amp; advisory engagement):</w:t>
      </w:r>
    </w:p>
    <w:p w14:paraId="52E0479E" w14:textId="77777777" w:rsidR="005653E0" w:rsidRDefault="00E65401">
      <w:pPr>
        <w:pStyle w:val="ListParagraph"/>
        <w:numPr>
          <w:ilvl w:val="0"/>
          <w:numId w:val="2"/>
        </w:numPr>
        <w:spacing w:after="80"/>
      </w:pPr>
      <w:r>
        <w:t>Projected / early-indicator reduction of approximately 30–40% in cloud attack-surface exposure driven by shifting misconfiguration detection and remediation into pull-request review and sprint planning rather than post-deployment.</w:t>
      </w:r>
    </w:p>
    <w:p w14:paraId="52E0479F" w14:textId="77777777" w:rsidR="005653E0" w:rsidRDefault="00E65401">
      <w:pPr>
        <w:pStyle w:val="ListParagraph"/>
        <w:numPr>
          <w:ilvl w:val="0"/>
          <w:numId w:val="2"/>
        </w:numPr>
        <w:spacing w:after="80"/>
      </w:pPr>
      <w:r>
        <w:t>Consolidated duplicate alerting across CSPM, container, SAST / SCA, and IaC scanners into a single accountable workflow — materially reducing alert fatigue across DevSecOps and application security teams.</w:t>
      </w:r>
    </w:p>
    <w:p w14:paraId="52E047A0" w14:textId="77777777" w:rsidR="005653E0" w:rsidRDefault="00E65401">
      <w:pPr>
        <w:pStyle w:val="ListParagraph"/>
        <w:numPr>
          <w:ilvl w:val="0"/>
          <w:numId w:val="2"/>
        </w:numPr>
        <w:spacing w:after="80"/>
      </w:pPr>
      <w:r>
        <w:t>Control baseline catalog mapped across the cloud estate to NIST CSF, NIST 800-53, and CIS Benchmarks — enabling automated, enterprise-scale measurement of control effectiveness and residual risk for the first time.</w:t>
      </w:r>
    </w:p>
    <w:p w14:paraId="52E047A1" w14:textId="77777777" w:rsidR="005653E0" w:rsidRDefault="00E65401">
      <w:pPr>
        <w:spacing w:after="120"/>
      </w:pPr>
      <w:r>
        <w:t>Qualitative:</w:t>
      </w:r>
    </w:p>
    <w:p w14:paraId="52E047A2" w14:textId="77777777" w:rsidR="005653E0" w:rsidRDefault="00E65401">
      <w:pPr>
        <w:pStyle w:val="ListParagraph"/>
        <w:numPr>
          <w:ilvl w:val="0"/>
          <w:numId w:val="2"/>
        </w:numPr>
        <w:spacing w:after="80"/>
      </w:pPr>
      <w:r>
        <w:t>Generated visible, collective support from senior security leadership (CISO / Deputy CISO, Head of Security Architecture) and engineering leadership (VP / Head of DevSecOps and Platform Engineering) around a single operating framework.</w:t>
      </w:r>
    </w:p>
    <w:p w14:paraId="52E047A3" w14:textId="77777777" w:rsidR="005653E0" w:rsidRDefault="00E65401">
      <w:pPr>
        <w:pStyle w:val="ListParagraph"/>
        <w:numPr>
          <w:ilvl w:val="0"/>
          <w:numId w:val="2"/>
        </w:numPr>
        <w:spacing w:after="80"/>
      </w:pPr>
      <w:r>
        <w:t>Broke the silo between security, enterprise risk / GRC, and engineering by giving each a defined role in the RACI and a shared control baseline to govern against.</w:t>
      </w:r>
    </w:p>
    <w:p w14:paraId="52E047A4" w14:textId="77777777" w:rsidR="005653E0" w:rsidRDefault="00E65401">
      <w:pPr>
        <w:pStyle w:val="ListParagraph"/>
        <w:numPr>
          <w:ilvl w:val="0"/>
          <w:numId w:val="2"/>
        </w:numPr>
        <w:spacing w:after="80"/>
      </w:pPr>
      <w:r>
        <w:t>Moved the CSPM program from a reactive, ticket-driven posture into a proactive, risk-driven, SDLC-integrated discipline.</w:t>
      </w:r>
    </w:p>
    <w:p w14:paraId="52E047A5" w14:textId="77777777" w:rsidR="005653E0" w:rsidRDefault="00E65401">
      <w:pPr>
        <w:pStyle w:val="ListParagraph"/>
        <w:numPr>
          <w:ilvl w:val="0"/>
          <w:numId w:val="2"/>
        </w:numPr>
        <w:spacing w:after="80"/>
      </w:pPr>
      <w:r>
        <w:t>Laid a durable foundation that the organization can extend into broader cloud-native and CNAPP initiatives without re-architecting the operating model.</w:t>
      </w:r>
    </w:p>
    <w:p w14:paraId="52E047A6" w14:textId="77777777" w:rsidR="005653E0" w:rsidRDefault="00E65401">
      <w:pPr>
        <w:spacing w:after="120"/>
      </w:pPr>
      <w:r>
        <w:t>Adoption &amp; longevity: The operating model and control baselines are designed as living artifacts intended to govern CSPM operations for multiple years and to serve as the anchor architecture for follow-on CNAPP, runtime protection, and cloud-native security investments.</w:t>
      </w:r>
    </w:p>
    <w:p w14:paraId="52E047A7" w14:textId="77777777" w:rsidR="005653E0" w:rsidRDefault="00E65401">
      <w:pPr>
        <w:pStyle w:val="Heading1"/>
      </w:pPr>
      <w:r>
        <w:t>PROUDEST ACHIEVEMENT</w:t>
      </w:r>
    </w:p>
    <w:p w14:paraId="52E047A8" w14:textId="77777777" w:rsidR="005653E0" w:rsidRDefault="00E65401">
      <w:pPr>
        <w:spacing w:after="120"/>
      </w:pPr>
      <w:r>
        <w:rPr>
          <w:b/>
          <w:bCs/>
        </w:rPr>
        <w:t xml:space="preserve">Headline: Architected an enterprise CSPM operating model that replaced a reactive, siloed posture with a proactive, risk-driven, shared-responsibility framework — and won </w:t>
      </w:r>
      <w:r>
        <w:rPr>
          <w:b/>
          <w:bCs/>
        </w:rPr>
        <w:lastRenderedPageBreak/>
        <w:t>visible, collective executive sponsorship across security, risk, and engineering leadership.</w:t>
      </w:r>
    </w:p>
    <w:p w14:paraId="52E047A9" w14:textId="77777777" w:rsidR="005653E0" w:rsidRDefault="00E65401">
      <w:pPr>
        <w:spacing w:after="120"/>
      </w:pPr>
      <w:r>
        <w:t>The achievement I would put front-and-center on any resume is this: in a ~4-month architecture engagement, I turned CSPM from a tool conversation into an operating-model conversation. By leading with shared responsibility, SDLC integration, and risk-framework-mapped control baselines — rather than tool selection — I aligned historically siloed teams under a single framework, secured CISO-level and engineering-leadership-level sponsorship, and produced a design that is execution-ready and extensible to CNAPP.</w:t>
      </w:r>
    </w:p>
    <w:p w14:paraId="52E047AA" w14:textId="77777777" w:rsidR="005653E0" w:rsidRDefault="00E65401">
      <w:pPr>
        <w:spacing w:after="120"/>
      </w:pPr>
      <w:r>
        <w:t>Why it matters: it demonstrates the ability to architect enterprise-scale cloud security programs, navigate multi-stakeholder leadership environments, translate security design into engineering reality, and create durable governance foundations rather than point fixes.</w:t>
      </w:r>
    </w:p>
    <w:p w14:paraId="52E047AB" w14:textId="77777777" w:rsidR="005653E0" w:rsidRDefault="005653E0">
      <w:pPr>
        <w:pBdr>
          <w:bottom w:val="single" w:sz="6" w:space="1" w:color="2E75B6"/>
        </w:pBdr>
        <w:spacing w:before="240" w:after="120"/>
      </w:pPr>
    </w:p>
    <w:p w14:paraId="52E047AC" w14:textId="77777777" w:rsidR="005653E0" w:rsidRDefault="00E65401">
      <w:pPr>
        <w:pStyle w:val="Heading2"/>
      </w:pPr>
      <w:r>
        <w:t>KEYWORD INDEX</w:t>
      </w:r>
    </w:p>
    <w:p w14:paraId="52E047AD" w14:textId="77777777" w:rsidR="005653E0" w:rsidRDefault="00E65401">
      <w:pPr>
        <w:spacing w:after="120"/>
      </w:pPr>
      <w:r>
        <w:rPr>
          <w:color w:val="333333"/>
          <w:sz w:val="20"/>
          <w:szCs w:val="20"/>
        </w:rPr>
        <w:t>Cloud Security Architect, Cloud Security Posture Management, CSPM, CNAPP, Cloud-Native Application Protection, Shift-Left Security, DevSecOps, SDLC Security, Shared-Responsibility Model, RACI, Control Baseline, Control Effectiveness, Residual Risk, Risk-Driven Architecture, Enterprise Risk, GRC, NIST CSF, NIST SP 800-53, CIS Benchmarks, CIS Controls, Microsoft Defender for Cloud, Aqua, Snyk, GitHub Advanced Security, IaC Security, Container Security, Workload Security, Application Security, Pull Request Security Checks, Sprint-Integrated Remediation, Runtime Monitoring, Attack Surface Reduction, Remediation Velocity, MTTR, Security Architecture, Cloud Governance, Multi-Cloud, Executive Stakeholder Management, CISO Engagement, Program Architecture, Operating Model Design, KPIs, KRIs, Leadership Socialization, Enterprise Transformation.</w:t>
      </w:r>
    </w:p>
    <w:sectPr w:rsidR="005653E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78A46" w14:textId="77777777" w:rsidR="00E40D50" w:rsidRDefault="00E40D50">
      <w:r>
        <w:separator/>
      </w:r>
    </w:p>
  </w:endnote>
  <w:endnote w:type="continuationSeparator" w:id="0">
    <w:p w14:paraId="6CE76222" w14:textId="77777777" w:rsidR="00E40D50" w:rsidRDefault="00E40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47AE" w14:textId="31A4D1D5" w:rsidR="005653E0" w:rsidRDefault="00E65401">
    <w:pPr>
      <w:jc w:val="center"/>
    </w:pPr>
    <w:r>
      <w:rPr>
        <w:color w:val="7F7F7F"/>
        <w:sz w:val="18"/>
        <w:szCs w:val="18"/>
      </w:rPr>
      <w:t xml:space="preserve">Experience Letter — CSPM Transformation  |  Generated April 17, 2026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57F0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D6494" w14:textId="77777777" w:rsidR="00E40D50" w:rsidRDefault="00E40D50">
      <w:r>
        <w:separator/>
      </w:r>
    </w:p>
  </w:footnote>
  <w:footnote w:type="continuationSeparator" w:id="0">
    <w:p w14:paraId="481DAA18" w14:textId="77777777" w:rsidR="00E40D50" w:rsidRDefault="00E40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32AE"/>
    <w:multiLevelType w:val="hybridMultilevel"/>
    <w:tmpl w:val="907A3C68"/>
    <w:lvl w:ilvl="0" w:tplc="DFB47F08">
      <w:start w:val="1"/>
      <w:numFmt w:val="bullet"/>
      <w:lvlText w:val="●"/>
      <w:lvlJc w:val="left"/>
      <w:pPr>
        <w:ind w:left="720" w:hanging="360"/>
      </w:pPr>
    </w:lvl>
    <w:lvl w:ilvl="1" w:tplc="E760F5A2">
      <w:start w:val="1"/>
      <w:numFmt w:val="bullet"/>
      <w:lvlText w:val="○"/>
      <w:lvlJc w:val="left"/>
      <w:pPr>
        <w:ind w:left="1440" w:hanging="360"/>
      </w:pPr>
    </w:lvl>
    <w:lvl w:ilvl="2" w:tplc="F42615F8">
      <w:start w:val="1"/>
      <w:numFmt w:val="bullet"/>
      <w:lvlText w:val="■"/>
      <w:lvlJc w:val="left"/>
      <w:pPr>
        <w:ind w:left="2160" w:hanging="360"/>
      </w:pPr>
    </w:lvl>
    <w:lvl w:ilvl="3" w:tplc="21BCB328">
      <w:start w:val="1"/>
      <w:numFmt w:val="bullet"/>
      <w:lvlText w:val="●"/>
      <w:lvlJc w:val="left"/>
      <w:pPr>
        <w:ind w:left="2880" w:hanging="360"/>
      </w:pPr>
    </w:lvl>
    <w:lvl w:ilvl="4" w:tplc="AB7E7638">
      <w:start w:val="1"/>
      <w:numFmt w:val="bullet"/>
      <w:lvlText w:val="○"/>
      <w:lvlJc w:val="left"/>
      <w:pPr>
        <w:ind w:left="3600" w:hanging="360"/>
      </w:pPr>
    </w:lvl>
    <w:lvl w:ilvl="5" w:tplc="A94E9994">
      <w:start w:val="1"/>
      <w:numFmt w:val="bullet"/>
      <w:lvlText w:val="■"/>
      <w:lvlJc w:val="left"/>
      <w:pPr>
        <w:ind w:left="4320" w:hanging="360"/>
      </w:pPr>
    </w:lvl>
    <w:lvl w:ilvl="6" w:tplc="6A6C4964">
      <w:start w:val="1"/>
      <w:numFmt w:val="bullet"/>
      <w:lvlText w:val="●"/>
      <w:lvlJc w:val="left"/>
      <w:pPr>
        <w:ind w:left="5040" w:hanging="360"/>
      </w:pPr>
    </w:lvl>
    <w:lvl w:ilvl="7" w:tplc="F5F44390">
      <w:start w:val="1"/>
      <w:numFmt w:val="bullet"/>
      <w:lvlText w:val="●"/>
      <w:lvlJc w:val="left"/>
      <w:pPr>
        <w:ind w:left="5760" w:hanging="360"/>
      </w:pPr>
    </w:lvl>
    <w:lvl w:ilvl="8" w:tplc="7C765BA4">
      <w:start w:val="1"/>
      <w:numFmt w:val="bullet"/>
      <w:lvlText w:val="●"/>
      <w:lvlJc w:val="left"/>
      <w:pPr>
        <w:ind w:left="6480" w:hanging="360"/>
      </w:pPr>
    </w:lvl>
  </w:abstractNum>
  <w:abstractNum w:abstractNumId="1" w15:restartNumberingAfterBreak="0">
    <w:nsid w:val="1EE56C92"/>
    <w:multiLevelType w:val="hybridMultilevel"/>
    <w:tmpl w:val="ED7C5DC8"/>
    <w:lvl w:ilvl="0" w:tplc="58AC3A8A">
      <w:start w:val="1"/>
      <w:numFmt w:val="bullet"/>
      <w:lvlText w:val="•"/>
      <w:lvlJc w:val="left"/>
      <w:pPr>
        <w:ind w:left="720" w:hanging="360"/>
      </w:pPr>
    </w:lvl>
    <w:lvl w:ilvl="1" w:tplc="481CD03E">
      <w:numFmt w:val="decimal"/>
      <w:lvlText w:val=""/>
      <w:lvlJc w:val="left"/>
    </w:lvl>
    <w:lvl w:ilvl="2" w:tplc="8326C8B2">
      <w:numFmt w:val="decimal"/>
      <w:lvlText w:val=""/>
      <w:lvlJc w:val="left"/>
    </w:lvl>
    <w:lvl w:ilvl="3" w:tplc="DE309A56">
      <w:numFmt w:val="decimal"/>
      <w:lvlText w:val=""/>
      <w:lvlJc w:val="left"/>
    </w:lvl>
    <w:lvl w:ilvl="4" w:tplc="7FC2B6DE">
      <w:numFmt w:val="decimal"/>
      <w:lvlText w:val=""/>
      <w:lvlJc w:val="left"/>
    </w:lvl>
    <w:lvl w:ilvl="5" w:tplc="DAF21230">
      <w:numFmt w:val="decimal"/>
      <w:lvlText w:val=""/>
      <w:lvlJc w:val="left"/>
    </w:lvl>
    <w:lvl w:ilvl="6" w:tplc="27B6B6BE">
      <w:numFmt w:val="decimal"/>
      <w:lvlText w:val=""/>
      <w:lvlJc w:val="left"/>
    </w:lvl>
    <w:lvl w:ilvl="7" w:tplc="50765360">
      <w:numFmt w:val="decimal"/>
      <w:lvlText w:val=""/>
      <w:lvlJc w:val="left"/>
    </w:lvl>
    <w:lvl w:ilvl="8" w:tplc="0F22FD44">
      <w:numFmt w:val="decimal"/>
      <w:lvlText w:val=""/>
      <w:lvlJc w:val="left"/>
    </w:lvl>
  </w:abstractNum>
  <w:num w:numId="1" w16cid:durableId="134415650">
    <w:abstractNumId w:val="0"/>
    <w:lvlOverride w:ilvl="0">
      <w:startOverride w:val="1"/>
    </w:lvlOverride>
  </w:num>
  <w:num w:numId="2" w16cid:durableId="9614228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3E0"/>
    <w:rsid w:val="00013A32"/>
    <w:rsid w:val="005653E0"/>
    <w:rsid w:val="008E6498"/>
    <w:rsid w:val="00C62A74"/>
    <w:rsid w:val="00D57F0C"/>
    <w:rsid w:val="00E40D50"/>
    <w:rsid w:val="00E65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0477A"/>
  <w15:docId w15:val="{AA105D18-6C08-4E77-B654-157D9F8A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1595</Words>
  <Characters>9097</Characters>
  <Application>Microsoft Office Word</Application>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Experience Letter — CSPM Transformation</dc:title>
  <dc:creator>Experience Letter Skill</dc:creator>
  <cp:lastModifiedBy>Shashikumar Mysore Pandu</cp:lastModifiedBy>
  <cp:revision>4</cp:revision>
  <dcterms:created xsi:type="dcterms:W3CDTF">2026-04-17T15:13:00Z</dcterms:created>
  <dcterms:modified xsi:type="dcterms:W3CDTF">2026-04-18T08:08:00Z</dcterms:modified>
</cp:coreProperties>
</file>