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2"/>
          <w:szCs w:val="32"/>
        </w:rPr>
        <w:t xml:space="preserve">EXPERIENCE LETTER</w:t>
      </w:r>
    </w:p>
    <w:p>
      <w:pPr>
        <w:spacing w:after="40"/>
      </w:pPr>
      <w:r>
        <w:rPr>
          <w:rFonts w:ascii="Arial" w:cs="Arial" w:eastAsia="Arial" w:hAnsi="Arial"/>
          <w:sz w:val="22"/>
          <w:szCs w:val="22"/>
        </w:rPr>
        <w:t xml:space="preserve">Project: Cloud Center of Excellence Security Assessment</w:t>
      </w:r>
      <w:r>
        <w:rPr>
          <w:rFonts w:ascii="Arial" w:cs="Arial" w:eastAsia="Arial" w:hAnsi="Arial"/>
          <w:sz w:val="22"/>
          <w:szCs w:val="22"/>
        </w:rPr>
        <w:t xml:space="preserve">   |   Role: Engineering Manager</w:t>
      </w:r>
    </w:p>
    <w:p>
      <w:pPr>
        <w:pBdr>
          <w:bottom w:val="single" w:color="2E5984" w:sz="6" w:space="8"/>
        </w:pBdr>
        <w:spacing w:after="200"/>
      </w:pPr>
      <w:r>
        <w:rPr>
          <w:rFonts w:ascii="Arial" w:cs="Arial" w:eastAsia="Arial" w:hAnsi="Arial"/>
          <w:sz w:val="22"/>
          <w:szCs w:val="22"/>
        </w:rPr>
        <w:t xml:space="preserve">Organization: Manufacturing Company (Confidential)</w:t>
      </w:r>
      <w:r>
        <w:rPr>
          <w:rFonts w:ascii="Arial" w:cs="Arial" w:eastAsia="Arial" w:hAnsi="Arial"/>
          <w:sz w:val="22"/>
          <w:szCs w:val="22"/>
        </w:rPr>
        <w:t xml:space="preserve">   |   Duration: 2023</w:t>
      </w:r>
      <w:r>
        <w:rPr>
          <w:rFonts w:ascii="Arial" w:cs="Arial" w:eastAsia="Arial" w:hAnsi="Arial"/>
          <w:sz w:val="22"/>
          <w:szCs w:val="22"/>
        </w:rPr>
        <w:t xml:space="preserve">   |   Team: Security assessment team</w:t>
      </w:r>
    </w:p>
    <w:p>
      <w:pPr>
        <w:pStyle w:val="Heading1"/>
      </w:pPr>
      <w:r>
        <w:t xml:space="preserve">Context</w:t>
      </w:r>
    </w:p>
    <w:p>
      <w:pPr>
        <w:spacing w:after="160"/>
      </w:pPr>
      <w:r>
        <w:rPr>
          <w:rFonts w:ascii="Arial" w:cs="Arial" w:eastAsia="Arial" w:hAnsi="Arial"/>
          <w:sz w:val="22"/>
          <w:szCs w:val="22"/>
        </w:rPr>
        <w:t xml:space="preserve">A manufacturing company's Cloud Center of Excellence (COE) was responsible for developing and enforcing security standards at the enterprise level. The Risk team engaged the assessment to review cloud infrastructure misconfigurations and align them with the company's existing standards. The initial scope was a technical configuration review.</w:t>
      </w:r>
    </w:p>
    <w:p>
      <w:pPr>
        <w:spacing w:after="160"/>
      </w:pPr>
      <w:r>
        <w:rPr>
          <w:rFonts w:ascii="Arial" w:cs="Arial" w:eastAsia="Arial" w:hAnsi="Arial"/>
          <w:sz w:val="22"/>
          <w:szCs w:val="22"/>
        </w:rPr>
        <w:t xml:space="preserve">During the configuration analysis, the team identified over 300,000 high alerts across 121 rule sets. However, the COE team had only vetted misconfigurations that aligned with their existing standards, leaving a significant number of misconfigurations unaddressed and unassessed. This created a blind spot where the enterprise believed it had comprehensive coverage but actually had substantial unmanaged risk.</w:t>
      </w:r>
    </w:p>
    <w:p>
      <w:pPr>
        <w:spacing w:after="160"/>
      </w:pPr>
      <w:r>
        <w:rPr>
          <w:rFonts w:ascii="Arial" w:cs="Arial" w:eastAsia="Arial" w:hAnsi="Arial"/>
          <w:sz w:val="22"/>
          <w:szCs w:val="22"/>
        </w:rPr>
        <w:t xml:space="preserve">The assessment needed to address not just the technical findings but the underlying gap in how the enterprise classified and governed its cloud security controls.</w:t>
      </w:r>
    </w:p>
    <w:p>
      <w:pPr>
        <w:pStyle w:val="Heading1"/>
      </w:pPr>
      <w:r>
        <w:t xml:space="preserve">Approach &amp; Methodology</w:t>
      </w:r>
    </w:p>
    <w:p>
      <w:pPr>
        <w:pStyle w:val="Heading2"/>
      </w:pPr>
      <w:r>
        <w:t xml:space="preserve">Challenging the Existing Approach</w:t>
      </w:r>
    </w:p>
    <w:p>
      <w:pPr>
        <w:spacing w:after="160"/>
      </w:pPr>
      <w:r>
        <w:rPr>
          <w:rFonts w:ascii="Arial" w:cs="Arial" w:eastAsia="Arial" w:hAnsi="Arial"/>
          <w:sz w:val="22"/>
          <w:szCs w:val="22"/>
        </w:rPr>
        <w:t xml:space="preserve">Identified that the COE team's methodology of only vetting misconfigurations against existing standards left a significant portion of alerts without risk assessment or ownership. Respectfully challenged this approach by quantifying the gap and highlighting the potential risks of ignoring these unaddressed misconfigurations. Engaged additional stakeholders beyond the original assessment scope to gather context needed for proper risk classification.</w:t>
      </w:r>
    </w:p>
    <w:p>
      <w:pPr>
        <w:pStyle w:val="Heading2"/>
      </w:pPr>
      <w:r>
        <w:t xml:space="preserve">Data Classification-Driven Controls</w:t>
      </w:r>
    </w:p>
    <w:p>
      <w:pPr>
        <w:spacing w:after="160"/>
      </w:pPr>
      <w:r>
        <w:rPr>
          <w:rFonts w:ascii="Arial" w:cs="Arial" w:eastAsia="Arial" w:hAnsi="Arial"/>
          <w:sz w:val="22"/>
          <w:szCs w:val="22"/>
        </w:rPr>
        <w:t xml:space="preserve">Recommended a fundamental shift: define security controls according to information classification using data tagging rather than applying uniform standards. This insight emerged from discovering that certain controls (e.g., confidential computing for VMs) only applied to specific data classifications, not universally. Led the team to establish a data tagging and cataloging process, develop controls accordingly, and tune detection rules based on classification context.</w:t>
      </w:r>
    </w:p>
    <w:p>
      <w:pPr>
        <w:pStyle w:val="Heading2"/>
      </w:pPr>
      <w:r>
        <w:t xml:space="preserve">Expanded Stakeholder Engagement</w:t>
      </w:r>
    </w:p>
    <w:p>
      <w:pPr>
        <w:spacing w:after="160"/>
      </w:pPr>
      <w:r>
        <w:rPr>
          <w:rFonts w:ascii="Arial" w:cs="Arial" w:eastAsia="Arial" w:hAnsi="Arial"/>
          <w:sz w:val="22"/>
          <w:szCs w:val="22"/>
        </w:rPr>
        <w:t xml:space="preserve">Connected with additional stakeholders beyond the original scope — including teams that could clarify which resources required specific controls and which did not. This cross-functional engagement transformed a narrow technical review into a comprehensive security governance assessment.</w:t>
      </w:r>
    </w:p>
    <w:p>
      <w:pPr>
        <w:pStyle w:val="Heading1"/>
      </w:pPr>
      <w:r>
        <w:t xml:space="preserve">Key Deliverables</w:t>
      </w:r>
    </w:p>
    <w:p>
      <w:pPr>
        <w:pStyle w:val="ListParagraph"/>
        <w:numPr>
          <w:ilvl w:val="0"/>
          <w:numId w:val="2"/>
        </w:numPr>
        <w:spacing w:after="80"/>
      </w:pPr>
      <w:r>
        <w:rPr>
          <w:rFonts w:ascii="Arial" w:cs="Arial" w:eastAsia="Arial" w:hAnsi="Arial"/>
          <w:sz w:val="22"/>
          <w:szCs w:val="22"/>
        </w:rPr>
        <w:t xml:space="preserve">Misconfiguration Risk Assessment: Analysis of 300,000+ high alerts across 121 rule sets, mapped to enterprise standards and classified by risk.</w:t>
      </w:r>
    </w:p>
    <w:p>
      <w:pPr>
        <w:pStyle w:val="ListParagraph"/>
        <w:numPr>
          <w:ilvl w:val="0"/>
          <w:numId w:val="2"/>
        </w:numPr>
        <w:spacing w:after="80"/>
      </w:pPr>
      <w:r>
        <w:rPr>
          <w:rFonts w:ascii="Arial" w:cs="Arial" w:eastAsia="Arial" w:hAnsi="Arial"/>
          <w:sz w:val="22"/>
          <w:szCs w:val="22"/>
        </w:rPr>
        <w:t xml:space="preserve">Gap Analysis: Identification of misconfigurations not covered by existing COE standards, with risk quantification and recommendations.</w:t>
      </w:r>
    </w:p>
    <w:p>
      <w:pPr>
        <w:pStyle w:val="ListParagraph"/>
        <w:numPr>
          <w:ilvl w:val="0"/>
          <w:numId w:val="2"/>
        </w:numPr>
        <w:spacing w:after="80"/>
      </w:pPr>
      <w:r>
        <w:rPr>
          <w:rFonts w:ascii="Arial" w:cs="Arial" w:eastAsia="Arial" w:hAnsi="Arial"/>
          <w:sz w:val="22"/>
          <w:szCs w:val="22"/>
        </w:rPr>
        <w:t xml:space="preserve">Data Classification Framework: Recommendations for information classification using data tagging to drive context-appropriate security controls.</w:t>
      </w:r>
    </w:p>
    <w:p>
      <w:pPr>
        <w:pStyle w:val="ListParagraph"/>
        <w:numPr>
          <w:ilvl w:val="0"/>
          <w:numId w:val="2"/>
        </w:numPr>
        <w:spacing w:after="80"/>
      </w:pPr>
      <w:r>
        <w:rPr>
          <w:rFonts w:ascii="Arial" w:cs="Arial" w:eastAsia="Arial" w:hAnsi="Arial"/>
          <w:sz w:val="22"/>
          <w:szCs w:val="22"/>
        </w:rPr>
        <w:t xml:space="preserve">Tuned Detection Rules: Updated rule configurations based on data classification context to reduce noise and improve signal quality.</w:t>
      </w:r>
    </w:p>
    <w:p>
      <w:pPr>
        <w:pStyle w:val="Heading1"/>
      </w:pPr>
      <w:r>
        <w:t xml:space="preserve">Technology Landscape</w:t>
      </w:r>
    </w:p>
    <w:p>
      <w:pPr>
        <w:spacing w:after="160"/>
      </w:pPr>
      <w:r>
        <w:rPr>
          <w:rFonts w:ascii="Arial" w:cs="Arial" w:eastAsia="Arial" w:hAnsi="Arial"/>
          <w:sz w:val="22"/>
          <w:szCs w:val="22"/>
        </w:rPr>
        <w:t xml:space="preserve">Cloud Infrastructure: Enterprise cloud environment with VMs, networking, storage, and identity services.</w:t>
      </w:r>
    </w:p>
    <w:p>
      <w:pPr>
        <w:spacing w:after="160"/>
      </w:pPr>
      <w:r>
        <w:rPr>
          <w:rFonts w:ascii="Arial" w:cs="Arial" w:eastAsia="Arial" w:hAnsi="Arial"/>
          <w:sz w:val="22"/>
          <w:szCs w:val="22"/>
        </w:rPr>
        <w:t xml:space="preserve">Security Tools: CSPM platforms, misconfiguration detection tools, cloud-native security services.</w:t>
      </w:r>
    </w:p>
    <w:p>
      <w:pPr>
        <w:spacing w:after="160"/>
      </w:pPr>
      <w:r>
        <w:rPr>
          <w:rFonts w:ascii="Arial" w:cs="Arial" w:eastAsia="Arial" w:hAnsi="Arial"/>
          <w:sz w:val="22"/>
          <w:szCs w:val="22"/>
        </w:rPr>
        <w:t xml:space="preserve">Governance: Data tagging and cataloging, information classification frameworks, enterprise security standards.</w:t>
      </w:r>
    </w:p>
    <w:p>
      <w:pPr>
        <w:pStyle w:val="Heading1"/>
      </w:pPr>
      <w:r>
        <w:t xml:space="preserve">Stakeholder Engagement</w:t>
      </w:r>
    </w:p>
    <w:p>
      <w:pPr>
        <w:spacing w:after="160"/>
      </w:pPr>
      <w:r>
        <w:rPr>
          <w:rFonts w:ascii="Arial" w:cs="Arial" w:eastAsia="Arial" w:hAnsi="Arial"/>
          <w:sz w:val="22"/>
          <w:szCs w:val="22"/>
        </w:rPr>
        <w:t xml:space="preserve">Presented findings and recommendations to the Risk team, COE team, and security leadership. Engaged additional stakeholders including teams responsible for data classification, infrastructure operations, and compliance. Challenged existing methodologies while maintaining productive relationships with the COE team.</w:t>
      </w:r>
    </w:p>
    <w:p>
      <w:pPr>
        <w:pStyle w:val="Heading1"/>
      </w:pPr>
      <w:r>
        <w:t xml:space="preserve">Leadership &amp; Cross-Functional Activities</w:t>
      </w:r>
    </w:p>
    <w:p>
      <w:pPr>
        <w:pStyle w:val="ListParagraph"/>
        <w:numPr>
          <w:ilvl w:val="0"/>
          <w:numId w:val="2"/>
        </w:numPr>
        <w:spacing w:after="80"/>
      </w:pPr>
      <w:r>
        <w:rPr>
          <w:rFonts w:ascii="Arial" w:cs="Arial" w:eastAsia="Arial" w:hAnsi="Arial"/>
          <w:sz w:val="22"/>
          <w:szCs w:val="22"/>
        </w:rPr>
        <w:t xml:space="preserve">Respectfully challenged the COE team's existing methodology by quantifying unaddressed risk</w:t>
      </w:r>
    </w:p>
    <w:p>
      <w:pPr>
        <w:pStyle w:val="ListParagraph"/>
        <w:numPr>
          <w:ilvl w:val="0"/>
          <w:numId w:val="2"/>
        </w:numPr>
        <w:spacing w:after="80"/>
      </w:pPr>
      <w:r>
        <w:rPr>
          <w:rFonts w:ascii="Arial" w:cs="Arial" w:eastAsia="Arial" w:hAnsi="Arial"/>
          <w:sz w:val="22"/>
          <w:szCs w:val="22"/>
        </w:rPr>
        <w:t xml:space="preserve">Expanded assessment scope from technical review to security governance assessment</w:t>
      </w:r>
    </w:p>
    <w:p>
      <w:pPr>
        <w:pStyle w:val="ListParagraph"/>
        <w:numPr>
          <w:ilvl w:val="0"/>
          <w:numId w:val="2"/>
        </w:numPr>
        <w:spacing w:after="80"/>
      </w:pPr>
      <w:r>
        <w:rPr>
          <w:rFonts w:ascii="Arial" w:cs="Arial" w:eastAsia="Arial" w:hAnsi="Arial"/>
          <w:sz w:val="22"/>
          <w:szCs w:val="22"/>
        </w:rPr>
        <w:t xml:space="preserve">Recommended and initiated a data classification-driven approach to security controls</w:t>
      </w:r>
    </w:p>
    <w:p>
      <w:pPr>
        <w:pStyle w:val="ListParagraph"/>
        <w:numPr>
          <w:ilvl w:val="0"/>
          <w:numId w:val="2"/>
        </w:numPr>
        <w:spacing w:after="80"/>
      </w:pPr>
      <w:r>
        <w:rPr>
          <w:rFonts w:ascii="Arial" w:cs="Arial" w:eastAsia="Arial" w:hAnsi="Arial"/>
          <w:sz w:val="22"/>
          <w:szCs w:val="22"/>
        </w:rPr>
        <w:t xml:space="preserve">Engaged cross-functional stakeholders beyond original scope to gather necessary context</w:t>
      </w:r>
    </w:p>
    <w:p>
      <w:pPr>
        <w:pStyle w:val="ListParagraph"/>
        <w:numPr>
          <w:ilvl w:val="0"/>
          <w:numId w:val="2"/>
        </w:numPr>
        <w:spacing w:after="80"/>
      </w:pPr>
      <w:r>
        <w:rPr>
          <w:rFonts w:ascii="Arial" w:cs="Arial" w:eastAsia="Arial" w:hAnsi="Arial"/>
          <w:sz w:val="22"/>
          <w:szCs w:val="22"/>
        </w:rPr>
        <w:t xml:space="preserve">Committed fully to implementation of the new recommendations after decision was made</w:t>
      </w:r>
    </w:p>
    <w:p>
      <w:pPr>
        <w:pStyle w:val="Heading1"/>
      </w:pPr>
      <w:r>
        <w:t xml:space="preserve">Impact &amp; Outcomes</w:t>
      </w:r>
    </w:p>
    <w:p>
      <w:pPr>
        <w:pStyle w:val="Heading2"/>
      </w:pPr>
      <w:r>
        <w:t xml:space="preserve">Quantitative</w:t>
      </w:r>
    </w:p>
    <w:p>
      <w:pPr>
        <w:pStyle w:val="ListParagraph"/>
        <w:numPr>
          <w:ilvl w:val="0"/>
          <w:numId w:val="2"/>
        </w:numPr>
        <w:spacing w:after="80"/>
      </w:pPr>
      <w:r>
        <w:rPr>
          <w:rFonts w:ascii="Arial" w:cs="Arial" w:eastAsia="Arial" w:hAnsi="Arial"/>
          <w:sz w:val="22"/>
          <w:szCs w:val="22"/>
        </w:rPr>
        <w:t xml:space="preserve">300,000+ high alerts across 121 rule sets analyzed and risk-classified</w:t>
      </w:r>
    </w:p>
    <w:p>
      <w:pPr>
        <w:pStyle w:val="ListParagraph"/>
        <w:numPr>
          <w:ilvl w:val="0"/>
          <w:numId w:val="2"/>
        </w:numPr>
        <w:spacing w:after="80"/>
      </w:pPr>
      <w:r>
        <w:rPr>
          <w:rFonts w:ascii="Arial" w:cs="Arial" w:eastAsia="Arial" w:hAnsi="Arial"/>
          <w:sz w:val="22"/>
          <w:szCs w:val="22"/>
        </w:rPr>
        <w:t xml:space="preserve">Significant gap identified between standards-covered and unaddressed misconfigurations</w:t>
      </w:r>
    </w:p>
    <w:p>
      <w:pPr>
        <w:pStyle w:val="Heading2"/>
      </w:pPr>
      <w:r>
        <w:t xml:space="preserve">Qualitative</w:t>
      </w:r>
    </w:p>
    <w:p>
      <w:pPr>
        <w:pStyle w:val="ListParagraph"/>
        <w:numPr>
          <w:ilvl w:val="0"/>
          <w:numId w:val="2"/>
        </w:numPr>
        <w:spacing w:after="80"/>
      </w:pPr>
      <w:r>
        <w:rPr>
          <w:rFonts w:ascii="Arial" w:cs="Arial" w:eastAsia="Arial" w:hAnsi="Arial"/>
          <w:sz w:val="22"/>
          <w:szCs w:val="22"/>
        </w:rPr>
        <w:t xml:space="preserve">Transformed the enterprise's approach from uniform standards to data classification-driven controls</w:t>
      </w:r>
    </w:p>
    <w:p>
      <w:pPr>
        <w:pStyle w:val="ListParagraph"/>
        <w:numPr>
          <w:ilvl w:val="0"/>
          <w:numId w:val="2"/>
        </w:numPr>
        <w:spacing w:after="80"/>
      </w:pPr>
      <w:r>
        <w:rPr>
          <w:rFonts w:ascii="Arial" w:cs="Arial" w:eastAsia="Arial" w:hAnsi="Arial"/>
          <w:sz w:val="22"/>
          <w:szCs w:val="22"/>
        </w:rPr>
        <w:t xml:space="preserve">Data tagging and cataloging process established for context-appropriate security enforcement</w:t>
      </w:r>
    </w:p>
    <w:p>
      <w:pPr>
        <w:pStyle w:val="ListParagraph"/>
        <w:numPr>
          <w:ilvl w:val="0"/>
          <w:numId w:val="2"/>
        </w:numPr>
        <w:spacing w:after="80"/>
      </w:pPr>
      <w:r>
        <w:rPr>
          <w:rFonts w:ascii="Arial" w:cs="Arial" w:eastAsia="Arial" w:hAnsi="Arial"/>
          <w:sz w:val="22"/>
          <w:szCs w:val="22"/>
        </w:rPr>
        <w:t xml:space="preserve">Detection rules tuned based on classification context, improving signal quality</w:t>
      </w:r>
    </w:p>
    <w:p>
      <w:pPr>
        <w:pStyle w:val="ListParagraph"/>
        <w:numPr>
          <w:ilvl w:val="0"/>
          <w:numId w:val="2"/>
        </w:numPr>
        <w:spacing w:after="80"/>
      </w:pPr>
      <w:r>
        <w:rPr>
          <w:rFonts w:ascii="Arial" w:cs="Arial" w:eastAsia="Arial" w:hAnsi="Arial"/>
          <w:sz w:val="22"/>
          <w:szCs w:val="22"/>
        </w:rPr>
        <w:t xml:space="preserve">COE team adopted a more comprehensive methodology for ongoing standards development</w:t>
      </w:r>
    </w:p>
    <w:p>
      <w:pPr>
        <w:pStyle w:val="ListParagraph"/>
        <w:numPr>
          <w:ilvl w:val="0"/>
          <w:numId w:val="2"/>
        </w:numPr>
        <w:spacing w:after="80"/>
      </w:pPr>
      <w:r>
        <w:rPr>
          <w:rFonts w:ascii="Arial" w:cs="Arial" w:eastAsia="Arial" w:hAnsi="Arial"/>
          <w:sz w:val="22"/>
          <w:szCs w:val="22"/>
        </w:rPr>
        <w:t xml:space="preserve">Enhanced overall security posture by addressing previously invisible risk</w:t>
      </w:r>
    </w:p>
    <w:p>
      <w:pPr>
        <w:pStyle w:val="Heading1"/>
      </w:pPr>
      <w:r>
        <w:t xml:space="preserve">Proudest Achievement</w:t>
      </w:r>
    </w:p>
    <w:p>
      <w:pPr>
        <w:spacing w:after="160"/>
      </w:pPr>
      <w:r>
        <w:rPr>
          <w:rFonts w:ascii="Arial" w:cs="Arial" w:eastAsia="Arial" w:hAnsi="Arial"/>
          <w:sz w:val="22"/>
          <w:szCs w:val="22"/>
        </w:rPr>
        <w:t xml:space="preserve">Challenged an established enterprise approach to cloud security governance and drove adoption of data classification-driven controls that fundamentally improved how the organization assessed and managed misconfiguration risk.</w:t>
      </w:r>
    </w:p>
    <w:p>
      <w:pPr>
        <w:spacing w:after="160"/>
      </w:pPr>
      <w:r>
        <w:rPr>
          <w:rFonts w:ascii="Arial" w:cs="Arial" w:eastAsia="Arial" w:hAnsi="Arial"/>
          <w:sz w:val="22"/>
          <w:szCs w:val="22"/>
        </w:rPr>
        <w:t xml:space="preserve">Recognized that the COE team's methodology, while logical on its surface, created a dangerous blind spot. By respectfully quantifying the gap and proposing a classification-based alternative, transformed a narrow configuration review into a meaningful governance improvement that the organization adopted for ongoing operations.</w:t>
      </w:r>
    </w:p>
    <w:p>
      <w:pPr>
        <w:spacing w:after="160"/>
      </w:pPr>
      <w:r>
        <w:rPr>
          <w:rFonts w:ascii="Arial" w:cs="Arial" w:eastAsia="Arial" w:hAnsi="Arial"/>
          <w:sz w:val="22"/>
          <w:szCs w:val="22"/>
        </w:rPr>
        <w:t xml:space="preserve">This demonstrates the conviction to challenge established approaches when they are insufficient, the ability to propose constructive alternatives backed by data, and the willingness to commit fully to implementation once decisions are made.</w:t>
      </w:r>
    </w:p>
    <w:p>
      <w:pPr>
        <w:pBdr>
          <w:top w:val="single" w:color="CCCCCC" w:sz="4" w:space="8"/>
        </w:pBdr>
        <w:spacing w:before="360"/>
      </w:pPr>
      <w:r>
        <w:rPr>
          <w:rFonts w:ascii="Arial" w:cs="Arial" w:eastAsia="Arial" w:hAnsi="Arial"/>
          <w:b/>
          <w:bCs/>
          <w:color w:val="1B3A5C"/>
          <w:sz w:val="22"/>
          <w:szCs w:val="22"/>
        </w:rPr>
        <w:t xml:space="preserve">KEYWORD INDEX</w:t>
      </w:r>
    </w:p>
    <w:p>
      <w:pPr>
        <w:spacing w:after="160"/>
      </w:pPr>
      <w:r>
        <w:rPr>
          <w:rFonts w:ascii="Arial" w:cs="Arial" w:eastAsia="Arial" w:hAnsi="Arial"/>
          <w:i/>
          <w:iCs/>
          <w:color w:val="555555"/>
          <w:sz w:val="20"/>
          <w:szCs w:val="20"/>
        </w:rPr>
        <w:t xml:space="preserve">cloud security, Cloud Center of Excellence, COE, misconfiguration management, security standards, data classification, data tagging, information classification, CSPM, cloud posture management, risk assessment, gap analysis, detection rules, rule tuning, security governance, cloud infrastructure, compliance, audit, stakeholder management, cross-functional engagement, manufacturing, enterprise security, 300K alerts, 121 rule sets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Generated April 2026</w:t>
    </w:r>
    <w:r>
      <w:rPr>
        <w:rFonts w:ascii="Arial" w:cs="Arial" w:eastAsia="Arial" w:hAnsi="Arial"/>
        <w:color w:val="999999"/>
        <w:sz w:val="16"/>
        <w:szCs w:val="16"/>
      </w:rPr>
      <w:t xml:space="preserv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2026-04-13T06:58:50.981Z</dcterms:created>
  <dcterms:modified xsi:type="dcterms:W3CDTF">2026-04-13T06:58:50.982Z</dcterms:modified>
</cp:coreProperties>
</file>

<file path=docProps/custom.xml><?xml version="1.0" encoding="utf-8"?>
<Properties xmlns="http://schemas.openxmlformats.org/officeDocument/2006/custom-properties" xmlns:vt="http://schemas.openxmlformats.org/officeDocument/2006/docPropsVTypes"/>
</file>