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Manuales - Paid Media &amp; Performance Marketing Regional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Esta es la biblioteca </w:t>
      </w:r>
      <w:r>
        <w:rPr>
          <w:rFonts w:eastAsia="等线" w:ascii="Arial" w:cs="Arial" w:hAnsi="Arial"/>
          <w:b w:val="true"/>
          <w:sz w:val="22"/>
        </w:rPr>
        <w:t>regional</w:t>
      </w:r>
      <w:r>
        <w:rPr>
          <w:rFonts w:eastAsia="等线" w:ascii="Arial" w:cs="Arial" w:hAnsi="Arial"/>
          <w:sz w:val="22"/>
        </w:rPr>
        <w:t xml:space="preserve"> de manuales de proceso del equipo de </w:t>
      </w:r>
      <w:r>
        <w:rPr>
          <w:rFonts w:eastAsia="等线" w:ascii="Arial" w:cs="Arial" w:hAnsi="Arial"/>
          <w:b w:val="true"/>
          <w:sz w:val="22"/>
        </w:rPr>
        <w:t>Paid Media &amp; Performance Marketing</w:t>
      </w:r>
      <w:r>
        <w:rPr>
          <w:rFonts w:eastAsia="等线" w:ascii="Arial" w:cs="Arial" w:hAnsi="Arial"/>
          <w:sz w:val="22"/>
        </w:rPr>
        <w:t xml:space="preserve">. Documentan, de forma estandarizada, cómo ejecutamos la pauta digital a nivel regional de </w:t>
      </w:r>
      <w:r>
        <w:rPr>
          <w:rFonts w:eastAsia="等线" w:ascii="Arial" w:cs="Arial" w:hAnsi="Arial"/>
          <w:b w:val="true"/>
          <w:sz w:val="22"/>
        </w:rPr>
        <w:t>Cubitt</w:t>
      </w:r>
      <w:r>
        <w:rPr>
          <w:rFonts w:eastAsia="等线" w:ascii="Arial" w:cs="Arial" w:hAnsi="Arial"/>
          <w:sz w:val="22"/>
        </w:rPr>
        <w:t xml:space="preserve"> y </w:t>
      </w:r>
      <w:r>
        <w:rPr>
          <w:rFonts w:eastAsia="等线" w:ascii="Arial" w:cs="Arial" w:hAnsi="Arial"/>
          <w:b w:val="true"/>
          <w:sz w:val="22"/>
        </w:rPr>
        <w:t>Casio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Google Ads</w:t>
      </w:r>
      <w:r>
        <w:rPr>
          <w:rFonts w:eastAsia="等线" w:ascii="Arial" w:cs="Arial" w:hAnsi="Arial"/>
          <w:sz w:val="22"/>
        </w:rPr>
        <w:t xml:space="preserve"> y </w:t>
      </w:r>
      <w:r>
        <w:rPr>
          <w:rFonts w:eastAsia="等线" w:ascii="Arial" w:cs="Arial" w:hAnsi="Arial"/>
          <w:b w:val="true"/>
          <w:sz w:val="22"/>
        </w:rPr>
        <w:t>Meta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Sirven para dos cosas: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b w:val="true"/>
          <w:sz w:val="22"/>
        </w:rPr>
        <w:t>Onboarding</w:t>
      </w:r>
      <w:r>
        <w:rPr>
          <w:rFonts w:eastAsia="等线" w:ascii="Arial" w:cs="Arial" w:hAnsi="Arial"/>
          <w:sz w:val="22"/>
        </w:rPr>
        <w:t xml:space="preserve"> — que alguien nuevo arranque y ejecute sin depender de nadie para cada paso.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b w:val="true"/>
          <w:sz w:val="22"/>
        </w:rPr>
        <w:t>Estandarización y calidad</w:t>
      </w:r>
      <w:r>
        <w:rPr>
          <w:rFonts w:eastAsia="等线" w:ascii="Arial" w:cs="Arial" w:hAnsi="Arial"/>
          <w:sz w:val="22"/>
        </w:rPr>
        <w:t xml:space="preserve"> — que todo el equipo de la región trabaje igual (convenciones, checklists, umbrales), reduciendo errores.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Cada manual sigue el mismo esqueleto: objetivo y cuándo se usa → responsable y frecuencia → prerrequisitos → procedimiento paso a paso (Google Ads / Meta) → Design (donde aplica) → convenciones → checklist → errores comunes → anexos por cuenta → definición de "bien hecho".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  <w:u w:val="single"/>
        </w:rPr>
        <w:t>MANUALES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Setup de Campañas</w:t>
      </w:r>
      <w:r>
        <w:rPr>
          <w:rFonts w:eastAsia="等线" w:ascii="Arial" w:cs="Arial" w:hAnsi="Arial"/>
          <w:sz w:val="22"/>
        </w:rPr>
        <w:t xml:space="preserve"> — estructura, naming, segmentación, presupuestos y tracking (incluye Design para ads): </w:t>
      </w:r>
      <w:hyperlink r:id="rId5">
        <w:r>
          <w:rPr>
            <w:rFonts w:eastAsia="等线" w:ascii="Arial" w:cs="Arial" w:hAnsi="Arial"/>
            <w:color w:val="3370ff"/>
            <w:sz w:val="22"/>
          </w:rPr>
          <w:t>Manual-01-Setup-de-Campanas.pdf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Optimización Rutinaria</w:t>
      </w:r>
      <w:r>
        <w:rPr>
          <w:rFonts w:eastAsia="等线" w:ascii="Arial" w:cs="Arial" w:hAnsi="Arial"/>
          <w:sz w:val="22"/>
        </w:rPr>
        <w:t xml:space="preserve"> — rutinas diaria/semanal/mensual, cuándo pausar/escalar, pujas y presupuesto: </w:t>
      </w:r>
      <w:hyperlink r:id="rId6">
        <w:r>
          <w:rPr>
            <w:rFonts w:eastAsia="等线" w:ascii="Arial" w:cs="Arial" w:hAnsi="Arial"/>
            <w:color w:val="3370ff"/>
            <w:sz w:val="22"/>
          </w:rPr>
          <w:t>Manual-02-Optimizacion-Rutinaria.pdf</w:t>
        </w:r>
      </w:hyperlink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Reportería y Análisis</w:t>
      </w:r>
      <w:r>
        <w:rPr>
          <w:rFonts w:eastAsia="等线" w:ascii="Arial" w:cs="Arial" w:hAnsi="Arial"/>
          <w:sz w:val="22"/>
        </w:rPr>
        <w:t xml:space="preserve"> — métricas clave (ROAS, CPA, CR), dashboards, cadencia y formato: </w:t>
      </w:r>
      <w:hyperlink r:id="rId7">
        <w:r>
          <w:rPr>
            <w:rFonts w:eastAsia="等线" w:ascii="Arial" w:cs="Arial" w:hAnsi="Arial"/>
            <w:color w:val="3370ff"/>
            <w:sz w:val="22"/>
          </w:rPr>
          <w:t>Manual-03-Reporteria-Analisis.pdf</w:t>
        </w:r>
      </w:hyperlink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Setup Técnico y Accesos</w:t>
      </w:r>
      <w:r>
        <w:rPr>
          <w:rFonts w:eastAsia="等线" w:ascii="Arial" w:cs="Arial" w:hAnsi="Arial"/>
          <w:sz w:val="22"/>
        </w:rPr>
        <w:t xml:space="preserve"> — tracking/conversiones, accesos, herramientas (Lark, dashboards), onboarding técnico: </w:t>
      </w:r>
      <w:hyperlink r:id="rId8">
        <w:r>
          <w:rPr>
            <w:rFonts w:eastAsia="等线" w:ascii="Arial" w:cs="Arial" w:hAnsi="Arial"/>
            <w:color w:val="3370ff"/>
            <w:sz w:val="22"/>
          </w:rPr>
          <w:t>Manual-04-Tecnico-y-Accesos.pdf</w:t>
        </w:r>
      </w:hyperlink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Email Marketing</w:t>
      </w:r>
      <w:r>
        <w:rPr>
          <w:rFonts w:eastAsia="等线" w:ascii="Arial" w:cs="Arial" w:hAnsi="Arial"/>
          <w:sz w:val="22"/>
        </w:rPr>
        <w:t xml:space="preserve"> — ActiveCampaign, flujos y plantillas (incluye Design para correos): </w:t>
      </w:r>
      <w:hyperlink r:id="rId9">
        <w:r>
          <w:rPr>
            <w:rFonts w:eastAsia="等线" w:ascii="Arial" w:cs="Arial" w:hAnsi="Arial"/>
            <w:color w:val="3370ff"/>
            <w:sz w:val="22"/>
          </w:rPr>
          <w:t>Manual-01-Setup-de-Campanas.pdf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366">
    <w:lvl>
      <w:start w:val="1"/>
      <w:numFmt w:val="decimal"/>
      <w:suff w:val="tab"/>
      <w:lvlText w:val="%1."/>
      <w:rPr>
        <w:color w:val="3370ff"/>
      </w:rPr>
    </w:lvl>
  </w:abstractNum>
  <w:abstractNum w:abstractNumId="119367">
    <w:lvl>
      <w:start w:val="2"/>
      <w:numFmt w:val="decimal"/>
      <w:suff w:val="tab"/>
      <w:lvlText w:val="%1."/>
      <w:rPr>
        <w:color w:val="3370ff"/>
      </w:rPr>
    </w:lvl>
  </w:abstractNum>
  <w:abstractNum w:abstractNumId="119368">
    <w:lvl>
      <w:start w:val="3"/>
      <w:numFmt w:val="decimal"/>
      <w:suff w:val="tab"/>
      <w:lvlText w:val="%1."/>
      <w:rPr>
        <w:color w:val="3370ff"/>
      </w:rPr>
    </w:lvl>
  </w:abstractNum>
  <w:abstractNum w:abstractNumId="119369">
    <w:lvl>
      <w:start w:val="4"/>
      <w:numFmt w:val="decimal"/>
      <w:suff w:val="tab"/>
      <w:lvlText w:val="%1."/>
      <w:rPr>
        <w:color w:val="3370ff"/>
      </w:rPr>
    </w:lvl>
  </w:abstractNum>
  <w:abstractNum w:abstractNumId="11937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19366"/>
  </w:num>
  <w:num w:numId="2">
    <w:abstractNumId w:val="119367"/>
  </w:num>
  <w:num w:numId="3">
    <w:abstractNumId w:val="119368"/>
  </w:num>
  <w:num w:numId="4">
    <w:abstractNumId w:val="119369"/>
  </w:num>
  <w:num w:numId="5">
    <w:abstractNumId w:val="1193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kenextrading.sg.larksuite.com/file/SHpTbfth9oNLGTxdyMml03OLgxe" TargetMode="External" Type="http://schemas.openxmlformats.org/officeDocument/2006/relationships/hyperlink"/><Relationship Id="rId6" Target="https://kenextrading.sg.larksuite.com/file/IzHWbSfKFoZoVBxriNbldiERgtg" TargetMode="External" Type="http://schemas.openxmlformats.org/officeDocument/2006/relationships/hyperlink"/><Relationship Id="rId7" Target="https://kenextrading.sg.larksuite.com/file/ScOabqieLoATx9xKv1jlBNHXg4b" TargetMode="External" Type="http://schemas.openxmlformats.org/officeDocument/2006/relationships/hyperlink"/><Relationship Id="rId8" Target="https://kenextrading.sg.larksuite.com/file/KMuubUl4AoRTycxQs1ulnaYjgy2" TargetMode="External" Type="http://schemas.openxmlformats.org/officeDocument/2006/relationships/hyperlink"/><Relationship Id="rId9" Target="https://kenextrading.sg.larksuite.com/file/SHpTbfth9oNLGTxdyMml03OLgx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2026-07-14T18:53:39Z</dcterms:created>
  <dc:creator>Apache POI</dc:creator>
</cp:coreProperties>
</file>