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Diagrama de flujo de los procesos en Cubitt Post-Venta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95650" cy="762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  <w:u w:val="single"/>
        </w:rPr>
        <w:t>Premium Customer Service</w:t>
      </w:r>
      <w:r>
        <w:rPr>
          <w:rFonts w:eastAsia="等线" w:ascii="Arial" w:cs="Arial" w:hAnsi="Arial"/>
          <w:b w:val="true"/>
          <w:sz w:val="36"/>
        </w:rPr>
        <w:t>:</w:t>
        <w:br/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48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[Premium Customer Service..png]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Organigrama de Customer service Cubitt</w:t>
      </w:r>
      <w:r>
        <w:rPr>
          <w:rFonts w:eastAsia="等线" w:ascii="Arial" w:cs="Arial" w:hAnsi="Arial"/>
          <w:b w:val="true"/>
          <w:sz w:val="22"/>
        </w:rPr>
        <w:t>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91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  <w:u w:val="single"/>
        </w:rPr>
        <w:t>Proceso de Atencion post-venta Cubitt Panama.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  <w:u w:val="single"/>
        </w:rPr>
        <w:t>Rotulado de termos.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  <w:u w:val="single"/>
        </w:rPr>
        <w:t>Capacitacion a punto de ventas.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429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429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2026-07-14T19:07:51Z</dcterms:created>
  <dc:creator>Apache POI</dc:creator>
</cp:coreProperties>
</file>