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11827"/>
          <w:sz w:val="44"/>
        </w:rPr>
        <w:t>CUBITT | MANUAL REGIONAL DE OPERACIONES</w:t>
      </w:r>
    </w:p>
    <w:p>
      <w:pPr>
        <w:spacing w:after="240"/>
      </w:pPr>
      <w:r>
        <w:rPr>
          <w:rFonts w:ascii="Arial" w:hAnsi="Arial"/>
          <w:b/>
          <w:color w:val="0052CC"/>
          <w:sz w:val="28"/>
        </w:rPr>
        <w:t>Departamento de Customer Service</w:t>
      </w:r>
    </w:p>
    <w:p>
      <w:pPr>
        <w:spacing w:after="360"/>
      </w:pPr>
      <w:r>
        <w:rPr>
          <w:b/>
          <w:color w:val="4B5563"/>
          <w:sz w:val="20"/>
        </w:rPr>
        <w:t>Gerencia Regional  |  Versión 1.0  |  Junio 2026</w:t>
        <w:br/>
      </w:r>
      <w:r>
        <w:rPr>
          <w:i/>
          <w:sz w:val="20"/>
        </w:rPr>
        <w:t>Documento de uso interno. Contiene procesos, políticas y estándares operativos para equipos de Customer Service en todos los países de la región Cubitt.</w:t>
      </w:r>
    </w:p>
    <w:p>
      <w:pPr>
        <w:keepNext/>
        <w:spacing w:before="360" w:after="160"/>
      </w:pPr>
      <w:r>
        <w:rPr>
          <w:rFonts w:ascii="Arial" w:hAnsi="Arial"/>
          <w:b/>
          <w:color w:val="111827"/>
          <w:sz w:val="30"/>
        </w:rPr>
        <w:t>1. Proceso de Atención Post-Venta</w:t>
      </w:r>
    </w:p>
    <w:p>
      <w:r>
        <w:t>Este capítulo describe el flujo completo desde que un cliente reporta un problema con su producto Cubitt hasta el cierre del caso, ya sea mediante solución remota, visita al punto de venta o procesamiento de garantía.</w:t>
      </w:r>
    </w:p>
    <w:p>
      <w:pPr>
        <w:keepNext/>
        <w:spacing w:before="240" w:after="120"/>
      </w:pPr>
      <w:r>
        <w:rPr>
          <w:rFonts w:ascii="Arial" w:hAnsi="Arial"/>
          <w:b/>
          <w:color w:val="0052CC"/>
          <w:sz w:val="25"/>
        </w:rPr>
        <w:t>1.1 Canales de Entrada del Cliente</w:t>
      </w:r>
    </w:p>
    <w:p>
      <w:r>
        <w:t>El cliente puede iniciar una solicitud de atención post-venta a través de los siguientes canales habilitados:</w:t>
      </w:r>
    </w:p>
    <w:p>
      <w:pPr>
        <w:pStyle w:val="ListBullet"/>
        <w:spacing w:after="60" w:line="276" w:lineRule="auto"/>
      </w:pPr>
      <w:r>
        <w:rPr>
          <w:rFonts w:ascii="Arial" w:hAnsi="Arial"/>
          <w:sz w:val="21"/>
        </w:rPr>
        <w:t xml:space="preserve"> Almacenes y distribuidores autorizados.</w:t>
      </w:r>
    </w:p>
    <w:p>
      <w:pPr>
        <w:pStyle w:val="ListBullet"/>
        <w:spacing w:after="60" w:line="276" w:lineRule="auto"/>
      </w:pPr>
      <w:r>
        <w:rPr>
          <w:rFonts w:ascii="Arial" w:hAnsi="Arial"/>
          <w:sz w:val="21"/>
        </w:rPr>
        <w:t xml:space="preserve"> Sitio web y tienda Obarrio (Panamá).</w:t>
      </w:r>
    </w:p>
    <w:p>
      <w:pPr>
        <w:pStyle w:val="ListBullet"/>
        <w:spacing w:after="60" w:line="276" w:lineRule="auto"/>
      </w:pPr>
      <w:r>
        <w:rPr>
          <w:rFonts w:ascii="Arial" w:hAnsi="Arial"/>
          <w:sz w:val="21"/>
        </w:rPr>
        <w:t xml:space="preserve"> Kioscos Cubitt en centros comerciales.</w:t>
      </w:r>
    </w:p>
    <w:p>
      <w:pPr>
        <w:keepNext/>
        <w:spacing w:before="240" w:after="120"/>
      </w:pPr>
      <w:r>
        <w:rPr>
          <w:rFonts w:ascii="Arial" w:hAnsi="Arial"/>
          <w:b/>
          <w:color w:val="0052CC"/>
          <w:sz w:val="25"/>
        </w:rPr>
        <w:t>1.2 Canales de Atención al Cliente</w:t>
      </w:r>
    </w:p>
    <w:p>
      <w:r>
        <w:t>Una vez que el cliente presenta su reclamo, el equipo de soporte lo atenderá mediante las siguientes plataformas oficiales:</w:t>
      </w:r>
    </w:p>
    <w:p>
      <w:pPr>
        <w:pStyle w:val="ListBullet"/>
        <w:spacing w:after="60" w:line="276" w:lineRule="auto"/>
      </w:pPr>
      <w:r>
        <w:rPr>
          <w:rFonts w:ascii="Arial" w:hAnsi="Arial"/>
          <w:sz w:val="21"/>
        </w:rPr>
        <w:t xml:space="preserve"> HiBot / WhatsApp.</w:t>
      </w:r>
    </w:p>
    <w:p>
      <w:pPr>
        <w:pStyle w:val="ListBullet"/>
        <w:spacing w:after="60" w:line="276" w:lineRule="auto"/>
      </w:pPr>
      <w:r>
        <w:rPr>
          <w:rFonts w:ascii="Arial" w:hAnsi="Arial"/>
          <w:sz w:val="21"/>
        </w:rPr>
        <w:t xml:space="preserve"> Live Chat / Shopify.</w:t>
      </w:r>
    </w:p>
    <w:p>
      <w:pPr>
        <w:pStyle w:val="ListBullet"/>
        <w:spacing w:after="60" w:line="276" w:lineRule="auto"/>
      </w:pPr>
      <w:r>
        <w:rPr>
          <w:rFonts w:ascii="Arial" w:hAnsi="Arial"/>
          <w:sz w:val="21"/>
        </w:rPr>
        <w:t xml:space="preserve"> Correo electrónico.</w:t>
      </w:r>
    </w:p>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 Asignación de Casos: Los casos son asignados directamente al equipo de soporte técnico asignado por región. En el caso de Panamá, los responsables son Rogmarc, Reinaldo y Gabriel (o el responsable equivalente en cada país de la región).</w:t>
            </w:r>
          </w:p>
        </w:tc>
      </w:tr>
    </w:tbl>
    <w:p/>
    <w:p>
      <w:pPr>
        <w:keepNext/>
        <w:spacing w:before="240" w:after="120"/>
      </w:pPr>
      <w:r>
        <w:rPr>
          <w:rFonts w:ascii="Arial" w:hAnsi="Arial"/>
          <w:b/>
          <w:color w:val="0052CC"/>
          <w:sz w:val="25"/>
        </w:rPr>
        <w:t>1.3 Árbol de Decisión — Flujo de Resolución</w:t>
      </w:r>
    </w:p>
    <w:p>
      <w:r>
        <w:t>A continuación se detalla la ruta operativa obligatoria para la resolución de quejas y fallas: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left"/>
            </w:pPr>
            <w:r/>
            <w:r>
              <w:rPr>
                <w:rFonts w:ascii="Arial" w:hAnsi="Arial"/>
                <w:b/>
                <w:color w:val="FFFFFF"/>
                <w:sz w:val="20"/>
              </w:rPr>
              <w:t>Paso</w:t>
            </w:r>
          </w:p>
        </w:tc>
        <w:tc>
          <w:tcPr>
            <w:tcW w:type="dxa" w:w="3600"/>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left"/>
            </w:pPr>
            <w:r/>
            <w:r>
              <w:rPr>
                <w:rFonts w:ascii="Arial" w:hAnsi="Arial"/>
                <w:b/>
                <w:color w:val="FFFFFF"/>
                <w:sz w:val="20"/>
              </w:rPr>
              <w:t>Situación</w:t>
            </w:r>
          </w:p>
        </w:tc>
        <w:tc>
          <w:tcPr>
            <w:tcW w:type="dxa" w:w="4608"/>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left"/>
            </w:pPr>
            <w:r/>
            <w:r>
              <w:rPr>
                <w:rFonts w:ascii="Arial" w:hAnsi="Arial"/>
                <w:b/>
                <w:color w:val="FFFFFF"/>
                <w:sz w:val="20"/>
              </w:rPr>
              <w:t>Acción Requerida</w:t>
            </w:r>
          </w:p>
        </w:tc>
      </w:tr>
      <w:tr>
        <w:tc>
          <w:tcPr>
            <w:tcW w:type="dxa" w:w="1152"/>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1</w:t>
            </w:r>
          </w:p>
        </w:tc>
        <w:tc>
          <w:tcPr>
            <w:tcW w:type="dxa" w:w="360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El cliente reporta un problema y se intenta solución remota.</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Ofrecer asistencia guiada por WhatsApp, chat o correo electrónico.</w:t>
            </w:r>
          </w:p>
        </w:tc>
      </w:tr>
      <w:tr>
        <w:tc>
          <w:tcPr>
            <w:tcW w:type="dxa" w:w="115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2A</w:t>
            </w:r>
          </w:p>
        </w:tc>
        <w:tc>
          <w:tcPr>
            <w:tcW w:type="dxa" w:w="360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¿Tiene solución remota? → SÍ</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Caso cerrado. Asegurar cliente satisfecho y brindar recomendaciones de uso.</w:t>
            </w:r>
          </w:p>
        </w:tc>
      </w:tr>
      <w:tr>
        <w:tc>
          <w:tcPr>
            <w:tcW w:type="dxa" w:w="1152"/>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2B</w:t>
            </w:r>
          </w:p>
        </w:tc>
        <w:tc>
          <w:tcPr>
            <w:tcW w:type="dxa" w:w="360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¿Tiene solución remota? → NO</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Recomendar visita al punto de venta más cercano o Kiosco Cubitt.</w:t>
            </w:r>
          </w:p>
        </w:tc>
      </w:tr>
      <w:tr>
        <w:tc>
          <w:tcPr>
            <w:tcW w:type="dxa" w:w="115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3A</w:t>
            </w:r>
          </w:p>
        </w:tc>
        <w:tc>
          <w:tcPr>
            <w:tcW w:type="dxa" w:w="360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¿El Kiosco tiene solución inmediata? → SÍ</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Caso cerrado en punto de venta. Cliente satisfecho.</w:t>
            </w:r>
          </w:p>
        </w:tc>
      </w:tr>
      <w:tr>
        <w:tc>
          <w:tcPr>
            <w:tcW w:type="dxa" w:w="1152"/>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3B</w:t>
            </w:r>
          </w:p>
        </w:tc>
        <w:tc>
          <w:tcPr>
            <w:tcW w:type="dxa" w:w="360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¿El Kiosco tiene solución inmediata? → NO</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Elaborar reporte técnico con: información del cliente, producto, estado de garantía y comprobante de compra.</w:t>
            </w:r>
          </w:p>
        </w:tc>
      </w:tr>
      <w:tr>
        <w:tc>
          <w:tcPr>
            <w:tcW w:type="dxa" w:w="115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4</w:t>
            </w:r>
          </w:p>
        </w:tc>
        <w:tc>
          <w:tcPr>
            <w:tcW w:type="dxa" w:w="360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Envío a oficinas Obarrio para revisión técnica profunda.</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El equipo de soporte técnico en conjunto con Patrick revisan el desperfecto.</w:t>
            </w:r>
          </w:p>
        </w:tc>
      </w:tr>
      <w:tr>
        <w:tc>
          <w:tcPr>
            <w:tcW w:type="dxa" w:w="1152"/>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5A</w:t>
            </w:r>
          </w:p>
        </w:tc>
        <w:tc>
          <w:tcPr>
            <w:tcW w:type="dxa" w:w="360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¿Presenta daño de fábrica? → SÍ</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Solicitar aprobación de cambio (Patrick / Aaron / Rogmarc) y proceder al reemplazo del producto.</w:t>
            </w:r>
          </w:p>
        </w:tc>
      </w:tr>
      <w:tr>
        <w:tc>
          <w:tcPr>
            <w:tcW w:type="dxa" w:w="1152"/>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5B</w:t>
            </w:r>
          </w:p>
        </w:tc>
        <w:tc>
          <w:tcPr>
            <w:tcW w:type="dxa" w:w="360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¿Presenta daño de fábrica? → NO</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Informar formalmente al cliente. No procede el cambio por garantía.</w:t>
            </w:r>
          </w:p>
        </w:tc>
      </w:tr>
      <w:tr>
        <w:tc>
          <w:tcPr>
            <w:tcW w:type="dxa" w:w="1152"/>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b/>
                <w:color w:val="374151"/>
                <w:sz w:val="19"/>
              </w:rPr>
              <w:t>6</w:t>
            </w:r>
          </w:p>
        </w:tc>
        <w:tc>
          <w:tcPr>
            <w:tcW w:type="dxa" w:w="360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Fase Post-reemplazo.</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Almacenar las piezas reemplazadas con su respectiva información para el conteo mensual. Aplicación de nota de crédito por parte del ejecutivo de ventas.</w:t>
            </w:r>
          </w:p>
        </w:tc>
      </w:tr>
    </w:tbl>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 POLÍTICA ESTRICTA DE APROBACIÓN: Las aprobaciones de cambio deben ser confirmadas siempre por Patrick, Aaron o Rogmarc. Ningún cambio está autorizado bajo ninguna circunstancia sin esta validación previa.</w:t>
            </w:r>
          </w:p>
        </w:tc>
      </w:tr>
    </w:tbl>
    <w:p/>
    <w:p>
      <w:pPr>
        <w:keepNext/>
        <w:spacing w:before="360" w:after="160"/>
      </w:pPr>
      <w:r>
        <w:rPr>
          <w:rFonts w:ascii="Arial" w:hAnsi="Arial"/>
          <w:b/>
          <w:color w:val="111827"/>
          <w:sz w:val="30"/>
        </w:rPr>
        <w:t>2. Política de Garantía Cubitt</w:t>
      </w:r>
    </w:p>
    <w:p>
      <w:pPr>
        <w:keepNext/>
        <w:spacing w:before="240" w:after="120"/>
      </w:pPr>
      <w:r>
        <w:rPr>
          <w:rFonts w:ascii="Arial" w:hAnsi="Arial"/>
          <w:b/>
          <w:color w:val="0052CC"/>
          <w:sz w:val="25"/>
        </w:rPr>
        <w:t>2.1 Cobertura Comercial</w:t>
      </w:r>
    </w:p>
    <w:p>
      <w:r>
        <w:t>Cubitt ofrece una garantía comercial de 12 meses (1 año) a partir de la fecha de compra en todo su portafolio de productos. Esta garantía cubre exclusivamente desperfectos de fábrica, clasificados en:</w:t>
      </w:r>
    </w:p>
    <w:p>
      <w:pPr>
        <w:pStyle w:val="ListBullet"/>
        <w:spacing w:after="60" w:line="276" w:lineRule="auto"/>
      </w:pPr>
      <w:r>
        <w:rPr>
          <w:b/>
        </w:rPr>
        <w:t>Daños de Software:</w:t>
      </w:r>
      <w:r>
        <w:rPr>
          <w:rFonts w:ascii="Arial" w:hAnsi="Arial"/>
          <w:sz w:val="21"/>
        </w:rPr>
        <w:t xml:space="preserve"> Fallas en el encendido de pantalla, rendimiento de batería y lectura de sensores.</w:t>
      </w:r>
    </w:p>
    <w:p>
      <w:pPr>
        <w:pStyle w:val="ListBullet"/>
        <w:spacing w:after="60" w:line="276" w:lineRule="auto"/>
      </w:pPr>
      <w:r>
        <w:rPr>
          <w:b/>
        </w:rPr>
        <w:t>Daños de Hardware:</w:t>
      </w:r>
      <w:r>
        <w:rPr>
          <w:rFonts w:ascii="Arial" w:hAnsi="Arial"/>
          <w:sz w:val="21"/>
        </w:rPr>
        <w:t xml:space="preserve"> Mal funcionamiento en los botones del reloj y desgaste prematuro del punto de carga.</w:t>
      </w:r>
    </w:p>
    <w:p>
      <w:pPr>
        <w:keepNext/>
        <w:spacing w:before="240" w:after="120"/>
      </w:pPr>
      <w:r>
        <w:rPr>
          <w:rFonts w:ascii="Arial" w:hAnsi="Arial"/>
          <w:b/>
          <w:color w:val="0052CC"/>
          <w:sz w:val="25"/>
        </w:rPr>
        <w:t>2.2 Causales de Exclusión de Garantía</w:t>
      </w:r>
    </w:p>
    <w:p>
      <w:r>
        <w:t>El cliente NO podrá reclamar la aplicación de la garantía bajo los siguientes escenarios:</w:t>
      </w:r>
    </w:p>
    <w:p>
      <w:pPr>
        <w:pStyle w:val="ListBullet"/>
        <w:spacing w:after="60" w:line="276" w:lineRule="auto"/>
      </w:pPr>
      <w:r>
        <w:rPr>
          <w:rFonts w:ascii="Arial" w:hAnsi="Arial"/>
          <w:sz w:val="21"/>
        </w:rPr>
        <w:t xml:space="preserve"> El problema surge por un tratamiento descuidado, violento, golpes o uso inapropiado.</w:t>
      </w:r>
    </w:p>
    <w:p>
      <w:pPr>
        <w:pStyle w:val="ListBullet"/>
        <w:spacing w:after="60" w:line="276" w:lineRule="auto"/>
      </w:pPr>
      <w:r>
        <w:rPr>
          <w:rFonts w:ascii="Arial" w:hAnsi="Arial"/>
          <w:sz w:val="21"/>
        </w:rPr>
        <w:t xml:space="preserve"> El producto fue alterado o modificado por personal ajeno al soporte técnico oficial de Cubitt.</w:t>
      </w:r>
    </w:p>
    <w:p>
      <w:pPr>
        <w:pStyle w:val="ListBullet"/>
        <w:spacing w:after="60" w:line="276" w:lineRule="auto"/>
      </w:pPr>
      <w:r>
        <w:rPr>
          <w:rFonts w:ascii="Arial" w:hAnsi="Arial"/>
          <w:sz w:val="21"/>
        </w:rPr>
        <w:t xml:space="preserve"> No se presenta la factura o comprobante de compra al momento de levantar el reclamo.</w:t>
      </w:r>
    </w:p>
    <w:p>
      <w:pPr>
        <w:pStyle w:val="ListBullet"/>
        <w:spacing w:after="60" w:line="276" w:lineRule="auto"/>
      </w:pPr>
      <w:r>
        <w:rPr>
          <w:rFonts w:ascii="Arial" w:hAnsi="Arial"/>
          <w:sz w:val="21"/>
        </w:rPr>
        <w:t xml:space="preserve"> El período de cobertura de 12 meses ha expirado formalmente.</w:t>
      </w:r>
    </w:p>
    <w:p>
      <w:pPr>
        <w:keepNext/>
        <w:spacing w:before="240" w:after="120"/>
      </w:pPr>
      <w:r>
        <w:rPr>
          <w:rFonts w:ascii="Arial" w:hAnsi="Arial"/>
          <w:b/>
          <w:color w:val="0052CC"/>
          <w:sz w:val="25"/>
        </w:rPr>
        <w:t>2.3 Política de Devoluciones y Cambios por Insatisfacción</w:t>
      </w:r>
    </w:p>
    <w:p>
      <w:pPr>
        <w:pStyle w:val="ListBullet"/>
        <w:spacing w:after="60" w:line="276" w:lineRule="auto"/>
      </w:pPr>
      <w:r>
        <w:rPr>
          <w:b/>
        </w:rPr>
        <w:t>Plazo máximo:</w:t>
      </w:r>
      <w:r>
        <w:rPr>
          <w:rFonts w:ascii="Arial" w:hAnsi="Arial"/>
          <w:sz w:val="21"/>
        </w:rPr>
        <w:t xml:space="preserve"> Hasta 15 días calendario desde la recepción del pedido.</w:t>
      </w:r>
    </w:p>
    <w:p>
      <w:pPr>
        <w:pStyle w:val="ListBullet"/>
        <w:spacing w:after="60" w:line="276" w:lineRule="auto"/>
      </w:pPr>
      <w:r>
        <w:rPr>
          <w:b/>
        </w:rPr>
        <w:t>Estado del producto:</w:t>
      </w:r>
      <w:r>
        <w:rPr>
          <w:rFonts w:ascii="Arial" w:hAnsi="Arial"/>
          <w:sz w:val="21"/>
        </w:rPr>
        <w:t xml:space="preserve"> Debe encontrarse en perfecto estado y estrictamente dentro de su embalaje original.</w:t>
      </w:r>
    </w:p>
    <w:p>
      <w:pPr>
        <w:pStyle w:val="ListBullet"/>
        <w:spacing w:after="60" w:line="276" w:lineRule="auto"/>
      </w:pPr>
      <w:r>
        <w:rPr>
          <w:b/>
        </w:rPr>
        <w:t>Penalizaciones:</w:t>
      </w:r>
      <w:r>
        <w:rPr>
          <w:rFonts w:ascii="Arial" w:hAnsi="Arial"/>
          <w:sz w:val="21"/>
        </w:rPr>
        <w:t xml:space="preserve"> Si la devolución no cumple con las condiciones óptimas, el equipo podrá rechazarla o aplicar una tarifa de reposición de hasta el 40% del precio original del artículo.</w:t>
      </w:r>
    </w:p>
    <w:p>
      <w:pPr>
        <w:pStyle w:val="ListBullet"/>
        <w:spacing w:after="60" w:line="276" w:lineRule="auto"/>
      </w:pPr>
      <w:r>
        <w:rPr>
          <w:b/>
        </w:rPr>
        <w:t>Logística:</w:t>
      </w:r>
      <w:r>
        <w:rPr>
          <w:rFonts w:ascii="Arial" w:hAnsi="Arial"/>
          <w:sz w:val="21"/>
        </w:rPr>
        <w:t xml:space="preserve"> Los costos de envío generados por devoluciones corren en su totalidad por cuenta del cliente.</w:t>
      </w:r>
    </w:p>
    <w:p>
      <w:pPr>
        <w:keepNext/>
        <w:spacing w:before="240" w:after="120"/>
      </w:pPr>
      <w:r>
        <w:rPr>
          <w:rFonts w:ascii="Arial" w:hAnsi="Arial"/>
          <w:b/>
          <w:color w:val="0052CC"/>
          <w:sz w:val="25"/>
        </w:rPr>
        <w:t>2.4 Proceso para Aplicar Nota de Crédito</w:t>
      </w:r>
    </w:p>
    <w:p>
      <w:r>
        <w:t>Se aplicará una nota de crédito por cambio de producto en garantía únicamente al cumplir los siguientes requisitos en cadena:</w:t>
      </w:r>
    </w:p>
    <w:p>
      <w:pPr>
        <w:pStyle w:val="ListBullet"/>
        <w:spacing w:after="60" w:line="276" w:lineRule="auto"/>
      </w:pPr>
      <w:r>
        <w:rPr>
          <w:b/>
        </w:rPr>
        <w:t>Paso A:</w:t>
      </w:r>
      <w:r>
        <w:rPr>
          <w:rFonts w:ascii="Arial" w:hAnsi="Arial"/>
          <w:sz w:val="21"/>
        </w:rPr>
        <w:t xml:space="preserve"> Diagnóstico técnico completado y confirmación del desperfecto de fábrica.</w:t>
      </w:r>
    </w:p>
    <w:p>
      <w:pPr>
        <w:pStyle w:val="ListBullet"/>
        <w:spacing w:after="60" w:line="276" w:lineRule="auto"/>
      </w:pPr>
      <w:r>
        <w:rPr>
          <w:b/>
        </w:rPr>
        <w:t>Paso B:</w:t>
      </w:r>
      <w:r>
        <w:rPr>
          <w:rFonts w:ascii="Arial" w:hAnsi="Arial"/>
          <w:sz w:val="21"/>
        </w:rPr>
        <w:t xml:space="preserve"> Aprobación explícita de cambio emitida por Patrick, Aaron o Rogmarc.</w:t>
      </w:r>
    </w:p>
    <w:p>
      <w:pPr>
        <w:pStyle w:val="ListBullet"/>
        <w:spacing w:after="60" w:line="276" w:lineRule="auto"/>
      </w:pPr>
      <w:r>
        <w:rPr>
          <w:b/>
        </w:rPr>
        <w:t>Responsable:</w:t>
      </w:r>
      <w:r>
        <w:rPr>
          <w:rFonts w:ascii="Arial" w:hAnsi="Arial"/>
          <w:sz w:val="21"/>
        </w:rPr>
        <w:t xml:space="preserve"> El ejecutivo de ventas Cubitt asignado es el único responsable de aplicar formalmente la nota de crédito.</w:t>
      </w:r>
    </w:p>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 NOTA OPERATIVA: Todos los productos con desperfectos de fábrica que hayan sido cambiados deben ser devueltos de inmediato al ejecutivo de ventas Cubitt para su debido almacenamiento y conteo mensual obligatorio.</w:t>
            </w:r>
          </w:p>
        </w:tc>
      </w:tr>
    </w:tbl>
    <w:p/>
    <w:p>
      <w:pPr>
        <w:keepNext/>
        <w:spacing w:before="240" w:after="120"/>
      </w:pPr>
      <w:r>
        <w:rPr>
          <w:rFonts w:ascii="Arial" w:hAnsi="Arial"/>
          <w:b/>
          <w:color w:val="0052CC"/>
          <w:sz w:val="25"/>
        </w:rPr>
        <w:t>2.4 Contacto de Soporte Técnico</w:t>
      </w:r>
    </w:p>
    <w:tbl>
      <w:tblPr>
        <w:tblW w:type="auto" w:w="0"/>
        <w:jc w:val="center"/>
        <w:tblLayout w:type="fixed"/>
        <w:tblLook w:firstColumn="1" w:firstRow="1" w:lastColumn="0" w:lastRow="0" w:noHBand="0" w:noVBand="1" w:val="04A0"/>
      </w:tblPr>
      <w:tblGrid>
        <w:gridCol w:w="4680"/>
        <w:gridCol w:w="4680"/>
      </w:tblGrid>
      <w:tr>
        <w:tc>
          <w:tcPr>
            <w:tcW w:type="dxa" w:w="4608"/>
            <w:shd w:fill="0052CC"/>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b/>
                <w:color w:val="FFFFFF"/>
                <w:sz w:val="20"/>
              </w:rPr>
              <w:t>Canal</w:t>
            </w:r>
          </w:p>
        </w:tc>
        <w:tc>
          <w:tcPr>
            <w:tcW w:type="dxa" w:w="4608"/>
            <w:shd w:fill="0052CC"/>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b/>
                <w:color w:val="FFFFFF"/>
                <w:sz w:val="20"/>
              </w:rPr>
              <w:t>Detalle Operativo</w:t>
            </w:r>
          </w:p>
        </w:tc>
      </w:tr>
      <w:tr>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b/>
                <w:color w:val="374151"/>
                <w:sz w:val="19"/>
              </w:rPr>
              <w:t>Teléfono / WhatsApp</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color w:val="374151"/>
                <w:sz w:val="19"/>
              </w:rPr>
              <w:t>+507 6860-5110</w:t>
            </w:r>
          </w:p>
        </w:tc>
      </w:tr>
      <w:tr>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b/>
                <w:color w:val="374151"/>
                <w:sz w:val="19"/>
              </w:rPr>
              <w:t>Correo electrónico</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color w:val="374151"/>
                <w:sz w:val="19"/>
              </w:rPr>
              <w:t>customerservice@cubittofficial.com</w:t>
            </w:r>
          </w:p>
        </w:tc>
      </w:tr>
      <w:tr>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b/>
                <w:color w:val="374151"/>
                <w:sz w:val="19"/>
              </w:rPr>
              <w:t>Horario de atención</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pPr>
            <w:r/>
            <w:r>
              <w:rPr>
                <w:rFonts w:ascii="Arial" w:hAnsi="Arial"/>
                <w:color w:val="374151"/>
                <w:sz w:val="19"/>
              </w:rPr>
              <w:t>Lunes a viernes, 8:00 AM – 5:00 PM</w:t>
            </w:r>
          </w:p>
        </w:tc>
      </w:tr>
    </w:tbl>
    <w:p>
      <w:pPr>
        <w:keepNext/>
        <w:spacing w:before="360" w:after="160"/>
      </w:pPr>
      <w:r>
        <w:rPr>
          <w:rFonts w:ascii="Arial" w:hAnsi="Arial"/>
          <w:b/>
          <w:color w:val="111827"/>
          <w:sz w:val="30"/>
        </w:rPr>
        <w:t>3. Motivos de Garantía y Diagnóstico Técnico</w:t>
      </w:r>
    </w:p>
    <w:p>
      <w:r>
        <w:t>Este apartado detalla los motivos válidos para procesar un cambio y las pruebas diagnósticas mandatorias que el técnico o asesor debe realizar en primera instancia.</w:t>
      </w:r>
    </w:p>
    <w:p>
      <w:pPr>
        <w:keepNext/>
        <w:spacing w:before="240" w:after="120"/>
      </w:pPr>
      <w:r>
        <w:rPr>
          <w:rFonts w:ascii="Arial" w:hAnsi="Arial"/>
          <w:b/>
          <w:color w:val="0052CC"/>
          <w:sz w:val="25"/>
        </w:rPr>
        <w:t>3.1 Criterios de Reemplazo por Categoría de Producto</w:t>
      </w:r>
    </w:p>
    <w:p>
      <w:pPr>
        <w:keepNext/>
        <w:spacing w:before="160" w:after="80"/>
      </w:pPr>
      <w:r>
        <w:rPr>
          <w:rFonts w:ascii="Arial" w:hAnsi="Arial"/>
          <w:b/>
          <w:color w:val="4B5563"/>
          <w:sz w:val="22"/>
        </w:rPr>
        <w:t>⌚ Relojes Inteligentes</w:t>
      </w:r>
    </w:p>
    <w:p>
      <w:pPr>
        <w:pStyle w:val="ListBullet"/>
        <w:spacing w:after="60" w:line="276" w:lineRule="auto"/>
      </w:pPr>
      <w:r>
        <w:rPr>
          <w:b/>
        </w:rPr>
        <w:t>Falla en Táctil:</w:t>
      </w:r>
      <w:r>
        <w:rPr>
          <w:rFonts w:ascii="Arial" w:hAnsi="Arial"/>
          <w:sz w:val="21"/>
        </w:rPr>
        <w:t xml:space="preserve"> El táctil del reloj no responde. (Validación obligatoria: Verificar primero que cuente con la última versión de software disponible).</w:t>
      </w:r>
    </w:p>
    <w:p>
      <w:pPr>
        <w:pStyle w:val="ListBullet"/>
        <w:spacing w:after="60" w:line="276" w:lineRule="auto"/>
      </w:pPr>
      <w:r>
        <w:rPr>
          <w:b/>
        </w:rPr>
        <w:t>Fallo de Display:</w:t>
      </w:r>
      <w:r>
        <w:rPr>
          <w:rFonts w:ascii="Arial" w:hAnsi="Arial"/>
          <w:sz w:val="21"/>
        </w:rPr>
        <w:t xml:space="preserve"> Pantalla muestra líneas horizontales o verticales. (Nota: No confundir con imagen pixelada o distorsionada por actualización).</w:t>
      </w:r>
    </w:p>
    <w:p>
      <w:pPr>
        <w:pStyle w:val="ListBullet"/>
        <w:spacing w:after="60" w:line="276" w:lineRule="auto"/>
      </w:pPr>
      <w:r>
        <w:rPr>
          <w:b/>
        </w:rPr>
        <w:t>Falla de Encendido:</w:t>
      </w:r>
      <w:r>
        <w:rPr>
          <w:rFonts w:ascii="Arial" w:hAnsi="Arial"/>
          <w:sz w:val="21"/>
        </w:rPr>
        <w:t xml:space="preserve"> El reloj no enciende ni da muestras de display tras un ciclo completo de carga.</w:t>
      </w:r>
    </w:p>
    <w:p>
      <w:pPr>
        <w:pStyle w:val="ListBullet"/>
        <w:spacing w:after="60" w:line="276" w:lineRule="auto"/>
      </w:pPr>
      <w:r>
        <w:rPr>
          <w:b/>
        </w:rPr>
        <w:t>Botón Hundido:</w:t>
      </w:r>
      <w:r>
        <w:rPr>
          <w:rFonts w:ascii="Arial" w:hAnsi="Arial"/>
          <w:sz w:val="21"/>
        </w:rPr>
        <w:t xml:space="preserve"> El botón lateral permanece presionado o hundido. (Validación: Confirmar minuciosamente que no existan marcas visibles de golpes).</w:t>
      </w:r>
    </w:p>
    <w:p>
      <w:pPr>
        <w:pStyle w:val="ListBullet"/>
        <w:spacing w:after="60" w:line="276" w:lineRule="auto"/>
      </w:pPr>
      <w:r>
        <w:rPr>
          <w:b/>
        </w:rPr>
        <w:t>Error de Sensores:</w:t>
      </w:r>
      <w:r>
        <w:rPr>
          <w:rFonts w:ascii="Arial" w:hAnsi="Arial"/>
          <w:sz w:val="21"/>
        </w:rPr>
        <w:t xml:space="preserve"> Mala medición general. (Prueba requerida: Realizar una prueba comparativa colocando dos relojes del mismo modelo simultáneamente en el mismo test).</w:t>
      </w:r>
    </w:p>
    <w:p>
      <w:pPr>
        <w:pStyle w:val="ListBullet"/>
        <w:spacing w:after="60" w:line="276" w:lineRule="auto"/>
      </w:pPr>
      <w:r>
        <w:rPr>
          <w:b/>
        </w:rPr>
        <w:t>Pantalla Gris de Enlace:</w:t>
      </w:r>
      <w:r>
        <w:rPr>
          <w:rFonts w:ascii="Arial" w:hAnsi="Arial"/>
          <w:sz w:val="21"/>
        </w:rPr>
        <w:t xml:space="preserve"> Pantalla fija en gris que no completa el proceso de emparejamiento. (Prueba requerida: Probar conectividad en múltiples dispositivos tanto Android como Apple).</w:t>
      </w:r>
    </w:p>
    <w:p>
      <w:pPr>
        <w:keepNext/>
        <w:spacing w:before="160" w:after="80"/>
      </w:pPr>
      <w:r>
        <w:rPr>
          <w:rFonts w:ascii="Arial" w:hAnsi="Arial"/>
          <w:b/>
          <w:color w:val="4B5563"/>
          <w:sz w:val="22"/>
        </w:rPr>
        <w:t>◽ Casos Especiales en Relojes</w:t>
      </w:r>
    </w:p>
    <w:p>
      <w:pPr>
        <w:pStyle w:val="ListBullet"/>
        <w:spacing w:after="60" w:line="276" w:lineRule="auto"/>
      </w:pPr>
      <w:r>
        <w:rPr>
          <w:b/>
        </w:rPr>
        <w:t>Caja de Reloj Rota (Modelos CT2P2, CT4, CT4GPS):</w:t>
      </w:r>
      <w:r>
        <w:rPr>
          <w:rFonts w:ascii="Arial" w:hAnsi="Arial"/>
          <w:sz w:val="21"/>
        </w:rPr>
        <w:t xml:space="preserve"> Se procederá con la garantía únicamente si la compra se realizó hace menos de 3 meses y la estructura no muestra signos visibles de caídas o impactos fuertes.</w:t>
      </w:r>
    </w:p>
    <w:p>
      <w:pPr>
        <w:pStyle w:val="ListBullet"/>
        <w:spacing w:after="60" w:line="276" w:lineRule="auto"/>
      </w:pPr>
      <w:r>
        <w:rPr>
          <w:b/>
        </w:rPr>
        <w:t>Humedad en Pantalla (Condensación):</w:t>
      </w:r>
      <w:r>
        <w:rPr>
          <w:rFonts w:ascii="Arial" w:hAnsi="Arial"/>
          <w:sz w:val="21"/>
        </w:rPr>
        <w:t xml:space="preserve"> Aplica de forma directa exclusivamente para los modelos CT4 y CT4GPS que pertenezcan específicamente a los lotes N°30595 y N°10499.</w:t>
      </w:r>
    </w:p>
    <w:p>
      <w:pPr>
        <w:keepNext/>
        <w:spacing w:before="160" w:after="80"/>
      </w:pPr>
      <w:r>
        <w:rPr>
          <w:rFonts w:ascii="Arial" w:hAnsi="Arial"/>
          <w:b/>
          <w:color w:val="4B5563"/>
          <w:sz w:val="22"/>
        </w:rPr>
        <w:t>🎧 Auriculares</w:t>
      </w:r>
    </w:p>
    <w:p>
      <w:pPr>
        <w:pStyle w:val="ListBullet"/>
        <w:spacing w:after="60" w:line="276" w:lineRule="auto"/>
      </w:pPr>
      <w:r>
        <w:rPr>
          <w:b/>
        </w:rPr>
        <w:t>Falta de Audio:</w:t>
      </w:r>
      <w:r>
        <w:rPr>
          <w:rFonts w:ascii="Arial" w:hAnsi="Arial"/>
          <w:sz w:val="21"/>
        </w:rPr>
        <w:t xml:space="preserve"> El auricular izquierdo o derecho no emite sonido. (Procedimiento: Colocar a cargar por 2 horas continuas con su cable original; si la falla persiste, realizar un re-emparejamiento completo de fábrica).</w:t>
      </w:r>
    </w:p>
    <w:p>
      <w:pPr>
        <w:pStyle w:val="ListBullet"/>
        <w:spacing w:after="60" w:line="276" w:lineRule="auto"/>
      </w:pPr>
      <w:r>
        <w:rPr>
          <w:b/>
        </w:rPr>
        <w:t>Falla en Base de Carga:</w:t>
      </w:r>
      <w:r>
        <w:rPr>
          <w:rFonts w:ascii="Arial" w:hAnsi="Arial"/>
          <w:sz w:val="21"/>
        </w:rPr>
        <w:t xml:space="preserve"> La caja no transmite energía o los imanes de sujeción no funcionan. (Validación: Verificar que los auriculares encajen y asienten de manera correcta en los pines).</w:t>
      </w:r>
    </w:p>
    <w:p>
      <w:pPr>
        <w:keepNext/>
        <w:spacing w:before="160" w:after="80"/>
      </w:pPr>
      <w:r>
        <w:rPr>
          <w:rFonts w:ascii="Arial" w:hAnsi="Arial"/>
          <w:b/>
          <w:color w:val="4B5563"/>
          <w:sz w:val="22"/>
        </w:rPr>
        <w:t>🔊 Bocinas</w:t>
      </w:r>
    </w:p>
    <w:p>
      <w:pPr>
        <w:pStyle w:val="ListBullet"/>
        <w:spacing w:after="60" w:line="276" w:lineRule="auto"/>
      </w:pPr>
      <w:r>
        <w:rPr>
          <w:b/>
        </w:rPr>
        <w:t>Falla de Batería:</w:t>
      </w:r>
      <w:r>
        <w:rPr>
          <w:rFonts w:ascii="Arial" w:hAnsi="Arial"/>
          <w:sz w:val="21"/>
        </w:rPr>
        <w:t xml:space="preserve"> La bocina no se mantiene encendida sin estar conectada a la corriente, o su tiempo de reproducción es menor a 8 horas configurada al volumen máximo.</w:t>
      </w:r>
    </w:p>
    <w:p>
      <w:pPr>
        <w:pStyle w:val="ListBullet"/>
        <w:spacing w:after="60" w:line="276" w:lineRule="auto"/>
      </w:pPr>
      <w:r>
        <w:rPr>
          <w:b/>
        </w:rPr>
        <w:t>Fallo de Emparejamiento TWS:</w:t>
      </w:r>
      <w:r>
        <w:rPr>
          <w:rFonts w:ascii="Arial" w:hAnsi="Arial"/>
          <w:sz w:val="21"/>
        </w:rPr>
        <w:t xml:space="preserve"> Las bocinas no logran enlazarse entre sí. (Nota: Solo aplica si el usuario dispone de dos unidades idénticas del mismo modelo).</w:t>
      </w:r>
    </w:p>
    <w:p>
      <w:pPr>
        <w:keepNext/>
        <w:spacing w:before="240" w:after="120"/>
      </w:pPr>
      <w:r>
        <w:rPr>
          <w:rFonts w:ascii="Arial" w:hAnsi="Arial"/>
          <w:b/>
          <w:color w:val="0052CC"/>
          <w:sz w:val="25"/>
        </w:rPr>
        <w:t>3.2 Guía de Resolución de Problemas (Troubleshooting)</w:t>
      </w:r>
    </w:p>
    <w:p/>
    <w:p>
      <w:pPr>
        <w:spacing w:before="80" w:after="80"/>
      </w:pPr>
      <w:r>
        <w:t>Problema: No dura la carga / Se descarga rápido</w:t>
        <w:br/>
        <w:t>1. Conectar el reloj y su cable correspondiente de forma directa al Hub de carga del taller/kiosco.</w:t>
        <w:br/>
        <w:t>2. Verificar el voltaje en el medidor: debe marcar estrictamente entre 0.25A y 0.28A.</w:t>
        <w:br/>
        <w:t>3. Si el marcador se queda en 0.00A, significa que el cable está defectuoso; probar con un cable nuevo.</w:t>
        <w:br/>
        <w:t>4. Si con el cable nuevo carga correctamente, se reemplaza únicamente el cable (siempre que esté en garantía).</w:t>
        <w:br/>
        <w:t>5. Si el dispositivo no enciende ni recibe voltaje con cables funcionales, se diagnostica daño de batería y se procede con la garantía del reloj.</w:t>
      </w:r>
    </w:p>
    <w:p>
      <w:pPr>
        <w:spacing w:before="80" w:after="80"/>
      </w:pPr>
      <w:r>
        <w:t>Problema: No entran notificaciones al dispositivo</w:t>
        <w:br/>
        <w:t>1. Verificar físicamente que el modo 'No molestar' esté desactivado en el reloj (ícono de la luna apagado).</w:t>
        <w:br/>
        <w:t>2. Confirmar desde el teléfono que las notificaciones estén habilitadas dentro de la app Cubitt Pro (sección Dispositivos).</w:t>
        <w:br/>
        <w:t>3. En Android: Asegurarse de que use el WhatsApp oficial de Meta. Desactivar patrones, claves o seguridad por huella digital dentro de las apps de mensajería para permitir la previsualización.</w:t>
        <w:br/>
        <w:t>4. En iOS (iPhone): Deshabilitar el Face ID para bloquear apps de mensajería; en la configuración de notificaciones de iOS, la opción 'Previsualizar' debe estar configurada en 'Siempre'.</w:t>
        <w:br/>
        <w:t>5. En ambos sistemas operativos, validar que la opción general 'Mostrar notificaciones' esté activa.</w:t>
      </w:r>
    </w:p>
    <w:p>
      <w:pPr>
        <w:spacing w:before="80" w:after="80"/>
      </w:pPr>
      <w:r>
        <w:t>Problema: Pantalla táctil no responde de forma óptima</w:t>
        <w:br/>
        <w:t>1. Entrar a la aplicación VeryFit y verificar la versión del software (el reloj debe contar con más del 40% de batería para este paso).</w:t>
        <w:br/>
        <w:t>2. Si se encuentra una actualización pendiente, proceder a ejecutarla.</w:t>
        <w:br/>
        <w:t>3. Una vez finalizada la actualización, reiniciar el reloj de fábrica y probar el rendimiento del táctil.</w:t>
      </w:r>
    </w:p>
    <w:p>
      <w:pPr>
        <w:spacing w:before="80" w:after="80"/>
      </w:pPr>
      <w:r>
        <w:t>Problema: Error de Cohete Azul / Flecha Verde / Pantalla Gris o Pixelada</w:t>
        <w:br/>
        <w:t>1. Este error es un indicador directo de una actualización de firmware interrumpida o incompleta.</w:t>
        <w:br/>
        <w:t>2. Si la pantalla está distorsionada: Ir en el reloj a Ajustes → Borrado de datos. Posteriormente, volver a enlazar con la app y completar la actualización de forma limpia.</w:t>
        <w:br/>
        <w:t>3. Si presenta otro bloqueo similar: Al conectar el dispositivo de nuevo con la aplicación, el sistema arrojará automáticamente la opción de actualización. Proceder a darle curso.</w:t>
      </w:r>
    </w:p>
    <w:p>
      <w:pPr>
        <w:keepNext/>
        <w:spacing w:before="360" w:after="160"/>
      </w:pPr>
      <w:r>
        <w:rPr>
          <w:rFonts w:ascii="Arial" w:hAnsi="Arial"/>
          <w:b/>
          <w:color w:val="111827"/>
          <w:sz w:val="30"/>
        </w:rPr>
        <w:t>4. Formulario de Garantías — Guía de Registro Obligatorio</w:t>
      </w:r>
    </w:p>
    <w:p>
      <w:r>
        <w:t>Cada vez que se procese y concrete un reemplazo o cambio de producto, es de carácter estricto y obligatorio registrar la transacción en el formulario oficial de Lark.</w:t>
      </w:r>
    </w:p>
    <w:p>
      <w:r>
        <w:t>🔗 Enlace Único de Acceso: https://kenextrading.sg.larksuite.com/share/base/form/shrus8ceG6TjeCDrhidSQ1F7UQb</w:t>
      </w:r>
    </w:p>
    <w:p>
      <w:pPr>
        <w:keepNext/>
        <w:spacing w:before="240" w:after="120"/>
      </w:pPr>
      <w:r>
        <w:rPr>
          <w:rFonts w:ascii="Arial" w:hAnsi="Arial"/>
          <w:b/>
          <w:color w:val="0052CC"/>
          <w:sz w:val="25"/>
        </w:rPr>
        <w:t>4.1 Campos Requeridos e Instrucciones de Llenado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11827"/>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FFFFFF"/>
                <w:sz w:val="19"/>
              </w:rPr>
              <w:t>#</w:t>
            </w:r>
          </w:p>
        </w:tc>
        <w:tc>
          <w:tcPr>
            <w:tcW w:type="dxa" w:w="2160"/>
            <w:shd w:fill="111827"/>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FFFFFF"/>
                <w:sz w:val="19"/>
              </w:rPr>
              <w:t>Campo</w:t>
            </w:r>
          </w:p>
        </w:tc>
        <w:tc>
          <w:tcPr>
            <w:tcW w:type="dxa" w:w="1728"/>
            <w:shd w:fill="111827"/>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FFFFFF"/>
                <w:sz w:val="19"/>
              </w:rPr>
              <w:t>Tipo</w:t>
            </w:r>
          </w:p>
        </w:tc>
        <w:tc>
          <w:tcPr>
            <w:tcW w:type="dxa" w:w="4896"/>
            <w:shd w:fill="111827"/>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FFFFFF"/>
                <w:sz w:val="19"/>
              </w:rPr>
              <w:t>Instrucción Operativa</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País</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Seleccionar el país donde se está gestionando físicamente la garantía.</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2</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Sede</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Registrar la sucursal o tienda específica donde se realiza el reemplazo.</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3</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Cliente</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Escribir el nombre completo, tal y como aparece legalmente en la factura.</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4</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Fecha de compra</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Colocar la fecha exacta de compra en formato DD/MM/YYYY. Validar contra factura.</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5</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Foto de factura</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Opcional</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Adjuntar de forma digital la factura, recibo, captura de pantalla o evidencia física.</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6</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Número de serie</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Digitar el N/S exacto del producto. Ejemplo de formato: ACUBTCFHJILAM3AC1D.</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7</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Motivo</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Seleccionar la causa principal del cambio en el menú desplegable. (Ej: Pantalla / Screen).</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8</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Subcategoría</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Completar únicamente después de elegir el Motivo. (Ej: Píxeles en pantalla).</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9</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Color del producto</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Opcional</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Indicar el color del artículo recibido o el color del entregado en reemplazo.</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10</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¿Quién recibió la queja?</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Nombre del asesor de servicio o encargado que atendió la solicitud del cliente.</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11</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¿Cómo fue resuelto?</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Elegir entre: 'Reemplazado' o 'Reemplazado por modelo diferente'. Si es diferente, especificar el nuevo modelo.</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12</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Fecha del cambio</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Obligatorio (*)</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Colocar la fecha exacta en la que se le entrega el nuevo artículo al cliente (DD/MM/YYYY).</w:t>
            </w:r>
          </w:p>
        </w:tc>
      </w:tr>
      <w:tr>
        <w:tc>
          <w:tcPr>
            <w:tcW w:type="dxa" w:w="57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13</w:t>
            </w:r>
          </w:p>
        </w:tc>
        <w:tc>
          <w:tcPr>
            <w:tcW w:type="dxa" w:w="2160"/>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País de compra</w:t>
            </w:r>
          </w:p>
        </w:tc>
        <w:tc>
          <w:tcPr>
            <w:tcW w:type="dxa" w:w="1728"/>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Opcional</w:t>
            </w:r>
          </w:p>
        </w:tc>
        <w:tc>
          <w:tcPr>
            <w:tcW w:type="dxa" w:w="4896"/>
            <w:shd w:fill="F9FAFB"/>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País donde el cliente adquirió originalmente el producto.</w:t>
            </w:r>
          </w:p>
        </w:tc>
      </w:tr>
      <w:tr>
        <w:tc>
          <w:tcPr>
            <w:tcW w:type="dxa" w:w="57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14</w:t>
            </w:r>
          </w:p>
        </w:tc>
        <w:tc>
          <w:tcPr>
            <w:tcW w:type="dxa" w:w="2160"/>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b/>
                <w:color w:val="374151"/>
                <w:sz w:val="18"/>
              </w:rPr>
              <w:t>Tienda de compra</w:t>
            </w:r>
          </w:p>
        </w:tc>
        <w:tc>
          <w:tcPr>
            <w:tcW w:type="dxa" w:w="1728"/>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Opcional</w:t>
            </w:r>
          </w:p>
        </w:tc>
        <w:tc>
          <w:tcPr>
            <w:tcW w:type="dxa" w:w="4896"/>
            <w:shd w:fill="FFFFFF"/>
            <w:tcMar>
              <w:top w:w="80" w:type="dxa"/>
              <w:bottom w:w="80" w:type="dxa"/>
              <w:left w:w="100" w:type="dxa"/>
              <w:right w:w="100" w:type="dxa"/>
            </w:tcMar>
            <w:tcBorders>
              <w:top w:val="single" w:sz="4" w:space="0" w:color="E5E7EB"/>
              <w:left w:val="none" w:sz="4" w:space="0" w:color="auto"/>
              <w:bottom w:val="single" w:sz="4" w:space="0" w:color="E5E7EB"/>
              <w:right w:val="none" w:sz="4" w:space="0" w:color="auto"/>
            </w:tcBorders>
          </w:tcPr>
          <w:p>
            <w:pPr>
              <w:spacing w:after="0" w:line="264" w:lineRule="auto"/>
            </w:pPr>
            <w:r/>
            <w:r>
              <w:rPr>
                <w:rFonts w:ascii="Arial" w:hAnsi="Arial"/>
                <w:color w:val="374151"/>
                <w:sz w:val="18"/>
              </w:rPr>
              <w:t>Nombre del comercio o distribuidor tercero donde fue comprado el producto.</w:t>
            </w:r>
          </w:p>
        </w:tc>
      </w:tr>
    </w:tbl>
    <w:p>
      <w:pPr>
        <w:keepNext/>
        <w:spacing w:before="240" w:after="120"/>
      </w:pPr>
      <w:r>
        <w:rPr>
          <w:rFonts w:ascii="Arial" w:hAnsi="Arial"/>
          <w:b/>
          <w:color w:val="0052CC"/>
          <w:sz w:val="25"/>
        </w:rPr>
        <w:t>4.2 Checklist para la Prevención de Errores en Auditoría</w:t>
      </w:r>
    </w:p>
    <w:p>
      <w:pPr>
        <w:pStyle w:val="ListBullet"/>
        <w:spacing w:after="60" w:line="276" w:lineRule="auto"/>
      </w:pPr>
      <w:r>
        <w:rPr>
          <w:rFonts w:ascii="Arial" w:hAnsi="Arial"/>
          <w:sz w:val="21"/>
        </w:rPr>
        <w:t xml:space="preserve"> Verificar que ningún campo marcado con asterisco (*) quede vacío antes de presionar enviar.</w:t>
      </w:r>
    </w:p>
    <w:p>
      <w:pPr>
        <w:pStyle w:val="ListBullet"/>
        <w:spacing w:after="60" w:line="276" w:lineRule="auto"/>
      </w:pPr>
      <w:r>
        <w:rPr>
          <w:rFonts w:ascii="Arial" w:hAnsi="Arial"/>
          <w:sz w:val="21"/>
        </w:rPr>
        <w:t xml:space="preserve"> Asegurar que el nombre del usuario coincida letra por letra con su documento de compra.</w:t>
      </w:r>
    </w:p>
    <w:p>
      <w:pPr>
        <w:pStyle w:val="ListBullet"/>
        <w:spacing w:after="60" w:line="276" w:lineRule="auto"/>
      </w:pPr>
      <w:r>
        <w:rPr>
          <w:rFonts w:ascii="Arial" w:hAnsi="Arial"/>
          <w:sz w:val="21"/>
        </w:rPr>
        <w:t xml:space="preserve"> Respetar la jerarquía del formulario: Seleccionar siempre primero el Motivo y luego la Subcategoría.</w:t>
      </w:r>
    </w:p>
    <w:p>
      <w:pPr>
        <w:pStyle w:val="ListBullet"/>
        <w:spacing w:after="60" w:line="276" w:lineRule="auto"/>
      </w:pPr>
      <w:r>
        <w:rPr>
          <w:rFonts w:ascii="Arial" w:hAnsi="Arial"/>
          <w:sz w:val="21"/>
        </w:rPr>
        <w:t xml:space="preserve"> En casos de cambios por un modelo distinto, especificar la nomenclatura técnica exacta. Ejemplo: (CT-AURA5 → CT-AURA2-5).</w:t>
      </w:r>
    </w:p>
    <w:p>
      <w:pPr>
        <w:pStyle w:val="ListBullet"/>
        <w:spacing w:after="60" w:line="276" w:lineRule="auto"/>
      </w:pPr>
      <w:r>
        <w:rPr>
          <w:rFonts w:ascii="Arial" w:hAnsi="Arial"/>
          <w:sz w:val="21"/>
        </w:rPr>
        <w:t xml:space="preserve"> Adjuntar evidencia fotográfica nítida siempre que se disponga de ella.</w:t>
      </w:r>
    </w:p>
    <w:p>
      <w:pPr>
        <w:keepNext/>
        <w:spacing w:before="360" w:after="160"/>
      </w:pPr>
      <w:r>
        <w:rPr>
          <w:rFonts w:ascii="Arial" w:hAnsi="Arial"/>
          <w:b/>
          <w:color w:val="111827"/>
          <w:sz w:val="30"/>
        </w:rPr>
        <w:t>5. Guía de Comunicación Corporativa</w:t>
      </w:r>
    </w:p>
    <w:p>
      <w:r>
        <w:t>El equipo de Customer Service de Cubitt debe distinguirse por una atención excepcional, empática y altamente profesional en cualquier plataforma.</w:t>
      </w:r>
    </w:p>
    <w:p>
      <w:pPr>
        <w:keepNext/>
        <w:spacing w:before="240" w:after="120"/>
      </w:pPr>
      <w:r>
        <w:rPr>
          <w:rFonts w:ascii="Arial" w:hAnsi="Arial"/>
          <w:b/>
          <w:color w:val="0052CC"/>
          <w:sz w:val="25"/>
        </w:rPr>
        <w:t>5.1 Los 8 Principios de Oro de Atención al Cliente</w:t>
      </w:r>
    </w:p>
    <w:p>
      <w:pPr>
        <w:pStyle w:val="ListBullet"/>
        <w:spacing w:after="60" w:line="276" w:lineRule="auto"/>
      </w:pPr>
      <w:r>
        <w:rPr>
          <w:b/>
        </w:rPr>
        <w:t xml:space="preserve">1. El Saludo Mandatorio: </w:t>
      </w:r>
      <w:r>
        <w:rPr>
          <w:rFonts w:ascii="Arial" w:hAnsi="Arial"/>
          <w:sz w:val="21"/>
        </w:rPr>
        <w:t>Iniciar toda interacción utilizando la frase textual: '¡Buen día! Reciba un cordial saludo del Team Cubitt.'</w:t>
      </w:r>
    </w:p>
    <w:p>
      <w:pPr>
        <w:pStyle w:val="ListBullet"/>
        <w:spacing w:after="60" w:line="276" w:lineRule="auto"/>
      </w:pPr>
      <w:r>
        <w:rPr>
          <w:b/>
        </w:rPr>
        <w:t xml:space="preserve">2. Personalización: </w:t>
      </w:r>
      <w:r>
        <w:rPr>
          <w:rFonts w:ascii="Arial" w:hAnsi="Arial"/>
          <w:sz w:val="21"/>
        </w:rPr>
        <w:t>Utilizar siempre el nombre del cliente. Prohibido usar respuestas que se sientan 100% robóticas o genéricas.</w:t>
      </w:r>
    </w:p>
    <w:p>
      <w:pPr>
        <w:pStyle w:val="ListBullet"/>
        <w:spacing w:after="60" w:line="276" w:lineRule="auto"/>
      </w:pPr>
      <w:r>
        <w:rPr>
          <w:b/>
        </w:rPr>
        <w:t xml:space="preserve">3. Claridad Absoluta: </w:t>
      </w:r>
      <w:r>
        <w:rPr>
          <w:rFonts w:ascii="Arial" w:hAnsi="Arial"/>
          <w:sz w:val="21"/>
        </w:rPr>
        <w:t>Redactar en frases cortas, párrafos breves y prescindir por completo de tecnicismos complejos.</w:t>
      </w:r>
    </w:p>
    <w:p>
      <w:pPr>
        <w:pStyle w:val="ListBullet"/>
        <w:spacing w:after="60" w:line="276" w:lineRule="auto"/>
      </w:pPr>
      <w:r>
        <w:rPr>
          <w:b/>
        </w:rPr>
        <w:t xml:space="preserve">4. Empatía ante la Falla: </w:t>
      </w:r>
      <w:r>
        <w:rPr>
          <w:rFonts w:ascii="Arial" w:hAnsi="Arial"/>
          <w:sz w:val="21"/>
        </w:rPr>
        <w:t>Mostrar respaldo institucional con la frase obligatoria: 'De antemano, le pedimos disculpas en nombre del Team Cubitt por las molestias ocasionadas.'</w:t>
      </w:r>
    </w:p>
    <w:p>
      <w:pPr>
        <w:pStyle w:val="ListBullet"/>
        <w:spacing w:after="60" w:line="276" w:lineRule="auto"/>
      </w:pPr>
      <w:r>
        <w:rPr>
          <w:b/>
        </w:rPr>
        <w:t xml:space="preserve">5. Cumplimiento de SLA: </w:t>
      </w:r>
      <w:r>
        <w:rPr>
          <w:rFonts w:ascii="Arial" w:hAnsi="Arial"/>
          <w:sz w:val="21"/>
        </w:rPr>
        <w:t>Respetar los tiempos límite de respuesta. Si un caso requiere más tiempo de análisis, notificar de inmediato al usuario el tiempo estimado de espera.</w:t>
      </w:r>
    </w:p>
    <w:p>
      <w:pPr>
        <w:pStyle w:val="ListBullet"/>
        <w:spacing w:after="60" w:line="276" w:lineRule="auto"/>
      </w:pPr>
      <w:r>
        <w:rPr>
          <w:b/>
        </w:rPr>
        <w:t xml:space="preserve">6. Compromiso Resolutivo: </w:t>
      </w:r>
      <w:r>
        <w:rPr>
          <w:rFonts w:ascii="Arial" w:hAnsi="Arial"/>
          <w:sz w:val="21"/>
        </w:rPr>
        <w:t>Centrarse en soluciones directas y tangibles, buscando siempre superar las expectativas del cliente.</w:t>
      </w:r>
    </w:p>
    <w:p>
      <w:pPr>
        <w:pStyle w:val="ListBullet"/>
        <w:spacing w:after="60" w:line="276" w:lineRule="auto"/>
      </w:pPr>
      <w:r>
        <w:rPr>
          <w:b/>
        </w:rPr>
        <w:t xml:space="preserve">7. Cierre Profesional: </w:t>
      </w:r>
      <w:r>
        <w:rPr>
          <w:rFonts w:ascii="Arial" w:hAnsi="Arial"/>
          <w:sz w:val="21"/>
        </w:rPr>
        <w:t>Despedirse utilizando la estructura: 'Quedo a su disposición para cualquier otra consulta. ¡Gracias por elegir a Cubitt!'</w:t>
      </w:r>
    </w:p>
    <w:p>
      <w:pPr>
        <w:pStyle w:val="ListBullet"/>
        <w:spacing w:after="60" w:line="276" w:lineRule="auto"/>
      </w:pPr>
      <w:r>
        <w:rPr>
          <w:b/>
        </w:rPr>
        <w:t xml:space="preserve">8. Filtro de Calidad: </w:t>
      </w:r>
      <w:r>
        <w:rPr>
          <w:rFonts w:ascii="Arial" w:hAnsi="Arial"/>
          <w:sz w:val="21"/>
        </w:rPr>
        <w:t>Revisar la ortografía y redacción minuciosamente antes de enviar. Un texto impecable refleja el profesionalismo de la marca.</w:t>
      </w:r>
    </w:p>
    <w:p>
      <w:pPr>
        <w:keepNext/>
        <w:spacing w:before="240" w:after="120"/>
      </w:pPr>
      <w:r>
        <w:rPr>
          <w:rFonts w:ascii="Arial" w:hAnsi="Arial"/>
          <w:b/>
          <w:color w:val="0052CC"/>
          <w:sz w:val="25"/>
        </w:rPr>
        <w:t>5.2 Plantillas Oficiales de Respuesta (Copy-Paste Obligatorio)</w:t>
      </w:r>
    </w:p>
    <w:p>
      <w:pPr>
        <w:keepNext/>
        <w:spacing w:before="160" w:after="80"/>
      </w:pPr>
      <w:r>
        <w:rPr>
          <w:rFonts w:ascii="Arial" w:hAnsi="Arial"/>
          <w:b/>
          <w:color w:val="4B5563"/>
          <w:sz w:val="22"/>
        </w:rPr>
        <w:t>📩 Plantilla A: Consulta General sobre Producto (Vía Correo Electrónico)</w:t>
      </w:r>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Asunto: Consulta sobre Producto Cubitt</w:t>
              <w:br/>
              <w:br/>
              <w:t>¡Buen día! Le habla [Nombre del Agente], [Posición] del Team Cubitt.</w:t>
              <w:br/>
              <w:br/>
              <w:t>Con respecto a su consulta sobre [Mencionar Producto], estamos encantados de proporcionarle la información solicitada:</w:t>
              <w:br/>
              <w:br/>
              <w:t>[Insertar de forma clara la Respuesta Específica]</w:t>
              <w:br/>
              <w:br/>
              <w:t>Quedamos a su total disposición. ¡Gracias por elegir a Cubitt!</w:t>
              <w:br/>
              <w:br/>
              <w:t>Saludos cordiales,</w:t>
              <w:br/>
              <w:t>[Nombre del Agente] | [Posición] | Team Cubitt</w:t>
            </w:r>
          </w:p>
        </w:tc>
      </w:tr>
    </w:tbl>
    <w:p>
      <w:pPr>
        <w:keepNext/>
        <w:spacing w:before="160" w:after="80"/>
      </w:pPr>
      <w:r>
        <w:rPr>
          <w:rFonts w:ascii="Arial" w:hAnsi="Arial"/>
          <w:b/>
          <w:color w:val="4B5563"/>
          <w:sz w:val="22"/>
        </w:rPr>
        <w:t>💬 Plantilla B: Soporte Técnico Escrito (Vía WhatsApp / Live Chat)</w:t>
      </w:r>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¡Buen día! Le habla [Nombre del Agente], [Posición] del Team Cubitt. Reciba un cordial saludo.</w:t>
              <w:br/>
              <w:br/>
              <w:t>De antemano, le pedimos disculpas por las molestias ocasionadas. Entendemos perfectamente lo importante que es para usted contar con un producto de la más alta calidad.</w:t>
              <w:br/>
              <w:br/>
              <w:t>Para solucionarlo de forma rápida, lo guiaremos paso a paso en el siguiente proceso:</w:t>
              <w:br/>
              <w:t>👉 [Insertar aquí los pasos de solución o diagnóstico remoto]</w:t>
              <w:br/>
              <w:br/>
              <w:t>Si tiene alguna otra pregunta, por favor no dude en escribirnos. ¡Gracias por su valiosa comprensión y paciencia!</w:t>
            </w:r>
          </w:p>
        </w:tc>
      </w:tr>
    </w:tbl>
    <w:p>
      <w:pPr>
        <w:keepNext/>
        <w:spacing w:before="360" w:after="160"/>
      </w:pPr>
      <w:r>
        <w:rPr>
          <w:rFonts w:ascii="Arial" w:hAnsi="Arial"/>
          <w:b/>
          <w:color w:val="111827"/>
          <w:sz w:val="30"/>
        </w:rPr>
        <w:t>6. Base de Conocimiento — Preguntas Frecuentes (FAQs)</w:t>
      </w:r>
    </w:p>
    <w:p>
      <w:pPr>
        <w:keepNext/>
        <w:spacing w:before="240" w:after="120"/>
      </w:pPr>
      <w:r>
        <w:rPr>
          <w:rFonts w:ascii="Arial" w:hAnsi="Arial"/>
          <w:b/>
          <w:color w:val="0052CC"/>
          <w:sz w:val="25"/>
        </w:rPr>
        <w:t>6.1 Configuración y Primer Uso</w:t>
      </w:r>
    </w:p>
    <w:p>
      <w:pPr>
        <w:spacing w:before="80" w:after="80"/>
      </w:pPr>
      <w:r>
        <w:t>¿Cómo configuro mi Cubitt por primera vez?</w:t>
        <w:br/>
        <w:t>1. Conecte el cable de carga a un puerto USB de computadora o cargador de pared calificado.</w:t>
        <w:br/>
        <w:t>2. Ajuste el reloj a la base de carga, asegurándose de que vibre y la pantalla muestre el porcentaje de energía. El tiempo de carga inicial óptimo es de 2 a 3 horas.</w:t>
        <w:br/>
        <w:t>3. Encienda el Bluetooth de su teléfono móvil. IMPORTANTE: No intente emparejarlo manualmente desde los ajustes de Bluetooth del teléfono.</w:t>
        <w:br/>
        <w:t>4. Abra la aplicación oficial Cubitt Pro, vaya a la sección 'Emparejar Dispositivos' y seleccione el modelo de su reloj. Nota: El reloj solo puede mantenerse enlazado a un teléfono a la vez.</w:t>
      </w:r>
    </w:p>
    <w:p>
      <w:r>
        <w:rPr>
          <w:b/>
          <w:color w:val="0052CC"/>
        </w:rPr>
        <w:t>¿Cómo enlazar los modelos Cubitt Viva, Viva Pro, Aura o Aura Pro?</w:t>
        <w:br/>
      </w:r>
      <w:r>
        <w:t>Descargue la app Cubitt Pro (disponible en App Store, Play Store y App Gallery). Cree un perfil de usuario, seleccione la opción 'Añadir un nuevo reloj' y asegúrese de otorgar todos los permisos de sistema solicitados al Bluetooth.</w:t>
      </w:r>
    </w:p>
    <w:p>
      <w:r>
        <w:rPr>
          <w:b/>
          <w:color w:val="0052CC"/>
        </w:rPr>
        <w:t>¿Cómo se activan las notificaciones?</w:t>
        <w:br/>
      </w:r>
      <w:r>
        <w:t>Dentro de la app Cubitt Pro, siga la ruta: Perfil → Mi reloj → Notificaciones → Otorgar permisos → Seleccionar aplicaciones deseadas. (Consulte el apartado 3.2 de este manual para conocer las restricciones específicas de visualización en iOS y Android).</w:t>
      </w:r>
    </w:p>
    <w:p>
      <w:r>
        <w:rPr>
          <w:b/>
          <w:color w:val="0052CC"/>
        </w:rPr>
        <w:t>¿Cómo se activa el módulo GPS en los modelos Viva Pro y Aura Pro?</w:t>
        <w:br/>
      </w:r>
      <w:r>
        <w:t>El chip GPS de estos modelos está diseñado exclusivamente para el registro de entrenamientos deportivos (no para geolocalización o rastreo vehicular). Este se activa de forma automática al iniciar en el reloj cualquiera de las siguientes actividades en exteriores: Caminar al aire libre, Correr al aire libre, Ciclismo al aire libre, Carrera Trail o Senderismo.</w:t>
      </w:r>
    </w:p>
    <w:p>
      <w:r>
        <w:rPr>
          <w:b/>
          <w:color w:val="0052CC"/>
        </w:rPr>
        <w:t>¿Cómo se activan las llamadas por Bluetooth?</w:t>
        <w:br/>
      </w:r>
      <w:r>
        <w:t>Una vez enlazado el reloj a la app Cubitt Pro, ingrese a Perfil → Mi reloj → Llamadas Bluetooth y active la opción 'Llamada entrante', otorgando los permisos para leer la libreta de contactos. Nota: Desde el reloj solo pueden ejecutarse llamadas de red telefónica tradicional. Las llamadas entrantes de WhatsApp pueden recibirse y contestarse, pero no es posible iniciarlas desde el dispositivo.</w:t>
      </w:r>
    </w:p>
    <w:p>
      <w:pPr>
        <w:keepNext/>
        <w:spacing w:before="240" w:after="120"/>
      </w:pPr>
      <w:r>
        <w:rPr>
          <w:rFonts w:ascii="Arial" w:hAnsi="Arial"/>
          <w:b/>
          <w:color w:val="0052CC"/>
          <w:sz w:val="25"/>
        </w:rPr>
        <w:t>6.2 Respuestas Técnicas Rápidas</w:t>
      </w:r>
    </w:p>
    <w:tbl>
      <w:tblPr>
        <w:tblW w:type="auto" w:w="0"/>
        <w:jc w:val="center"/>
        <w:tblLayout w:type="fixed"/>
        <w:tblLook w:firstColumn="1" w:firstRow="1" w:lastColumn="0" w:lastRow="0" w:noHBand="0" w:noVBand="1" w:val="04A0"/>
      </w:tblPr>
      <w:tblGrid>
        <w:gridCol w:w="4680"/>
        <w:gridCol w:w="4680"/>
      </w:tblGrid>
      <w:tr>
        <w:tc>
          <w:tcPr>
            <w:tcW w:type="dxa" w:w="4608"/>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FFFFFF"/>
                <w:sz w:val="20"/>
              </w:rPr>
              <w:t>Pregunta Frecuente</w:t>
            </w:r>
          </w:p>
        </w:tc>
        <w:tc>
          <w:tcPr>
            <w:tcW w:type="dxa" w:w="4608"/>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FFFFFF"/>
                <w:sz w:val="20"/>
              </w:rPr>
              <w:t>Respuesta Oficial de la Marca</w:t>
            </w:r>
          </w:p>
        </w:tc>
      </w:tr>
      <w:tr>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¿Los relojes cuentan con tecnología NFC para pagos sin contacto?</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No. Ningún modelo de reloj Cubitt cuenta actualmente con hardware o chip NFC incorporado.</w:t>
            </w:r>
          </w:p>
        </w:tc>
      </w:tr>
      <w:tr>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¿Los relojes pueden medir la presión arterial?</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No. Los sensores médicos integrados meden con precisión: ritmo cardíaco, niveles de estrés, ciclos de sueño, contador de pasos y quema de calorías.</w:t>
            </w:r>
          </w:p>
        </w:tc>
      </w:tr>
      <w:tr>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¿Se pueden enlazar inalámbricamente bocinas de diferentes modelos?</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No. La tecnología TWS solo permite el emparejamiento entre dos bocinas que pertenezcan estrictamente al mismo modelo.</w:t>
            </w:r>
          </w:p>
        </w:tc>
      </w:tr>
      <w:tr>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¿Es posible cambiar las correas de los relojes?</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Sí, siempre que el diseño del modelo lo permita. Los modelos CT2 S Series 3 y CT2 Pro Series 3 comparten medidas de correa. Asimismo, los modelos CT2 Pro Max, CT4 y CT4 GPS son totalmente compatibles entre sí.</w:t>
            </w:r>
          </w:p>
        </w:tc>
      </w:tr>
      <w:tr>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Qué significa que la pantalla se quede congelada con un cohete azul o flecha verde?</w:t>
            </w:r>
          </w:p>
        </w:tc>
        <w:tc>
          <w:tcPr>
            <w:tcW w:type="dxa" w:w="4608"/>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Indica un proceso de actualización de software interrumpido. Causas: batería &lt; 40%, bloqueo del teléfono o distanciamiento del Bluetooth. La solución es reiniciar por completo el proceso de actualización desde la app.</w:t>
            </w:r>
          </w:p>
        </w:tc>
      </w:tr>
      <w:tr>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¿Cuál es el nivel exacto de resistencia al agua?</w:t>
            </w:r>
          </w:p>
        </w:tc>
        <w:tc>
          <w:tcPr>
            <w:tcW w:type="dxa" w:w="4608"/>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color w:val="374151"/>
                <w:sz w:val="19"/>
              </w:rPr>
              <w:t>• Relojes: Certificados contra salpicaduras y sumergibles hasta un máximo de 1.5 metros por un lapso de 30 a 60 minutos.</w:t>
              <w:br/>
              <w:t>• Auriculares: Resistentes exclusivamente a sudoración deportiva y salpicaduras leves.</w:t>
              <w:br/>
              <w:t>• Bocinas (Power Go y Power Plus): Clasificación sumergible a menos de 1 metro de profundidad.</w:t>
            </w:r>
          </w:p>
        </w:tc>
      </w:tr>
    </w:tbl>
    <w:p>
      <w:pPr>
        <w:keepNext/>
        <w:spacing w:before="360" w:after="160"/>
      </w:pPr>
      <w:r>
        <w:rPr>
          <w:rFonts w:ascii="Arial" w:hAnsi="Arial"/>
          <w:b/>
          <w:color w:val="111827"/>
          <w:sz w:val="30"/>
        </w:rPr>
        <w:t>7. Rotulación de Termos — Operación de Máquina LaserPecker</w:t>
      </w:r>
    </w:p>
    <w:p>
      <w:r>
        <w:t>Este procedimiento técnico describe los pasos mandatorios para realizar grabados láser personalizados de nombres o logotipos sobre termos Cubitt.</w:t>
      </w:r>
    </w:p>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 EXCLUSIÓN DE RESPONSABILIDAD: Cubitt no se hace responsable comercial ni económicamente por termos que presenten desperfectos en sus grabados debido a errores de manipulación. No se recomiendan grabados verticales de logos o nombres extensos debido al alto consumo de tiempo operativo que requiere el proceso.</w:t>
            </w:r>
          </w:p>
        </w:tc>
      </w:tr>
    </w:tbl>
    <w:p/>
    <w:p>
      <w:pPr>
        <w:keepNext/>
        <w:spacing w:before="240" w:after="120"/>
      </w:pPr>
      <w:r>
        <w:rPr>
          <w:rFonts w:ascii="Arial" w:hAnsi="Arial"/>
          <w:b/>
          <w:color w:val="0052CC"/>
          <w:sz w:val="25"/>
        </w:rPr>
        <w:t>7.1 Configuración e Instalación Física</w:t>
      </w:r>
    </w:p>
    <w:p>
      <w:pPr>
        <w:pStyle w:val="ListBullet"/>
        <w:spacing w:after="60" w:line="276" w:lineRule="auto"/>
      </w:pPr>
      <w:r>
        <w:rPr>
          <w:b/>
        </w:rPr>
        <w:t>Alineación:</w:t>
      </w:r>
      <w:r>
        <w:rPr>
          <w:rFonts w:ascii="Arial" w:hAnsi="Arial"/>
          <w:sz w:val="21"/>
        </w:rPr>
        <w:t xml:space="preserve"> Armar la estructura asegurándose de colocar el rodillo giratorio apuntando directamente hacia el frente. El logotipo de la marca 'LaserPecker' impreso en la máquina debe leerse de forma correcta y natural.</w:t>
      </w:r>
    </w:p>
    <w:p>
      <w:pPr>
        <w:pStyle w:val="ListBullet"/>
        <w:spacing w:after="60" w:line="276" w:lineRule="auto"/>
      </w:pPr>
      <w:r>
        <w:rPr>
          <w:b/>
        </w:rPr>
        <w:t>Cableado:</w:t>
      </w:r>
      <w:r>
        <w:rPr>
          <w:rFonts w:ascii="Arial" w:hAnsi="Arial"/>
          <w:sz w:val="21"/>
        </w:rPr>
        <w:t xml:space="preserve"> Conectar la fuente de alimentación, la base de soporte y el cilindro principal a la zona posterior del cabezal láser utilizando únicamente cables Tipo C de alta velocidad.</w:t>
      </w:r>
    </w:p>
    <w:p>
      <w:pPr>
        <w:pStyle w:val="ListBullet"/>
        <w:spacing w:after="60" w:line="276" w:lineRule="auto"/>
      </w:pPr>
      <w:r>
        <w:rPr>
          <w:b/>
        </w:rPr>
        <w:t>Calibración de Distancia:</w:t>
      </w:r>
      <w:r>
        <w:rPr>
          <w:rFonts w:ascii="Arial" w:hAnsi="Arial"/>
          <w:sz w:val="21"/>
        </w:rPr>
        <w:t xml:space="preserve"> Posicionar el termo a una distancia exacta de 13 cm medidos desde el lente del láser.</w:t>
      </w:r>
    </w:p>
    <w:p>
      <w:pPr>
        <w:pStyle w:val="ListBullet"/>
        <w:spacing w:after="60" w:line="276" w:lineRule="auto"/>
      </w:pPr>
      <w:r>
        <w:rPr>
          <w:b/>
        </w:rPr>
        <w:t>Centrado:</w:t>
      </w:r>
      <w:r>
        <w:rPr>
          <w:rFonts w:ascii="Arial" w:hAnsi="Arial"/>
          <w:sz w:val="21"/>
        </w:rPr>
        <w:t xml:space="preserve"> El área superficial que va a recibir el grabado debe quedar perfectamente centrada y alineada directamente encima del lente del láser.</w:t>
      </w:r>
    </w:p>
    <w:p>
      <w:pPr>
        <w:keepNext/>
        <w:spacing w:before="240" w:after="120"/>
      </w:pPr>
      <w:r>
        <w:rPr>
          <w:rFonts w:ascii="Arial" w:hAnsi="Arial"/>
          <w:b/>
          <w:color w:val="0052CC"/>
          <w:sz w:val="25"/>
        </w:rPr>
        <w:t>7.2 Parametrización en la Aplicación Móvil</w:t>
      </w:r>
    </w:p>
    <w:p>
      <w:pPr>
        <w:pStyle w:val="ListBullet"/>
        <w:spacing w:after="60" w:line="276" w:lineRule="auto"/>
      </w:pPr>
      <w:r>
        <w:rPr>
          <w:rFonts w:ascii="Arial" w:hAnsi="Arial"/>
          <w:sz w:val="21"/>
        </w:rPr>
        <w:t xml:space="preserve"> Descargar la app oficial de LaserPecker e iniciar sesión con las credenciales asignadas a cada Kiosco corporativo.</w:t>
      </w:r>
    </w:p>
    <w:p>
      <w:pPr>
        <w:pStyle w:val="ListBullet"/>
        <w:spacing w:after="60" w:line="276" w:lineRule="auto"/>
      </w:pPr>
      <w:r>
        <w:rPr>
          <w:rFonts w:ascii="Arial" w:hAnsi="Arial"/>
          <w:sz w:val="21"/>
        </w:rPr>
        <w:t xml:space="preserve"> En la pantalla de inicio, verificar el correcto estado de enlace inalámbrico (revisar el indicador en la esquina superior izquierda).</w:t>
      </w:r>
    </w:p>
    <w:p>
      <w:pPr>
        <w:pStyle w:val="ListBullet"/>
        <w:spacing w:after="60" w:line="276" w:lineRule="auto"/>
      </w:pPr>
      <w:r>
        <w:rPr>
          <w:rFonts w:ascii="Arial" w:hAnsi="Arial"/>
          <w:sz w:val="21"/>
        </w:rPr>
        <w:t xml:space="preserve"> Dirigirse al menú Ajustes y cerciorarse de que las casillas 'Rodillo giratorio' y la modalidad 'Cilindro' se encuentren completamente activadas.</w:t>
      </w:r>
    </w:p>
    <w:p>
      <w:pPr>
        <w:keepNext/>
        <w:spacing w:before="240" w:after="120"/>
      </w:pPr>
      <w:r>
        <w:rPr>
          <w:rFonts w:ascii="Arial" w:hAnsi="Arial"/>
          <w:b/>
          <w:color w:val="0052CC"/>
          <w:sz w:val="25"/>
        </w:rPr>
        <w:t>7.3 Configuración de Textos y Dimensiones</w:t>
      </w:r>
    </w:p>
    <w:p>
      <w:pPr>
        <w:pStyle w:val="ListBullet"/>
        <w:spacing w:after="60" w:line="276" w:lineRule="auto"/>
      </w:pPr>
      <w:r>
        <w:rPr>
          <w:rFonts w:ascii="Arial" w:hAnsi="Arial"/>
          <w:sz w:val="21"/>
        </w:rPr>
        <w:t xml:space="preserve"> En la interfaz principal de la aplicación, seleccionar la opción 'Create' (Crear) e ingresar el texto solicitado por el cliente.</w:t>
      </w:r>
    </w:p>
    <w:p>
      <w:pPr>
        <w:pStyle w:val="ListBullet"/>
        <w:spacing w:after="60" w:line="276" w:lineRule="auto"/>
      </w:pPr>
      <w:r>
        <w:rPr>
          <w:b/>
        </w:rPr>
        <w:t>Orientación:</w:t>
      </w:r>
      <w:r>
        <w:rPr>
          <w:rFonts w:ascii="Arial" w:hAnsi="Arial"/>
          <w:sz w:val="21"/>
        </w:rPr>
        <w:t xml:space="preserve"> Configurar el flujo de las letras en formato vertical (diseño de abajo hacia arriba).</w:t>
      </w:r>
    </w:p>
    <w:p>
      <w:pPr>
        <w:pStyle w:val="ListBullet"/>
        <w:spacing w:after="60" w:line="276" w:lineRule="auto"/>
      </w:pPr>
      <w:r>
        <w:rPr>
          <w:b/>
        </w:rPr>
        <w:t>Márgenes de seguridad:</w:t>
      </w:r>
      <w:r>
        <w:rPr>
          <w:rFonts w:ascii="Arial" w:hAnsi="Arial"/>
          <w:sz w:val="21"/>
        </w:rPr>
        <w:t xml:space="preserve"> Máx 15 mm (1.5 cm) por línea (W) / Máx 50 mm (5.0 cm) de longitud total (H). Si el diseño requiere 2 líneas, se duplica proporcionalmente el alto.</w:t>
      </w:r>
    </w:p>
    <w:p>
      <w:pPr>
        <w:keepNext/>
        <w:spacing w:before="240" w:after="120"/>
      </w:pPr>
      <w:r>
        <w:rPr>
          <w:rFonts w:ascii="Arial" w:hAnsi="Arial"/>
          <w:b/>
          <w:color w:val="0052CC"/>
          <w:sz w:val="25"/>
        </w:rPr>
        <w:t>7.4 Fase de Preview y Enfoque de Precisión</w:t>
      </w:r>
    </w:p>
    <w:p>
      <w:pPr>
        <w:pStyle w:val="ListBullet"/>
        <w:spacing w:after="60" w:line="276" w:lineRule="auto"/>
      </w:pPr>
      <w:r>
        <w:rPr>
          <w:rFonts w:ascii="Arial" w:hAnsi="Arial"/>
          <w:sz w:val="21"/>
        </w:rPr>
        <w:t xml:space="preserve"> Seleccionar el botón 'Start Preview'. La máquina proyectará una guía de luz delimitando el área exacta del grabado sobre el termo.</w:t>
      </w:r>
    </w:p>
    <w:p>
      <w:pPr>
        <w:pStyle w:val="ListBullet"/>
        <w:spacing w:after="60" w:line="276" w:lineRule="auto"/>
      </w:pPr>
      <w:r>
        <w:rPr>
          <w:rFonts w:ascii="Arial" w:hAnsi="Arial"/>
          <w:sz w:val="21"/>
        </w:rPr>
        <w:t xml:space="preserve"> Con ayuda de un lápiz tradicional, marque suavemente en el termo las esquinas y dimensiones reflejadas por la luz para asegurar un correcto posicionamiento.</w:t>
      </w:r>
    </w:p>
    <w:p>
      <w:pPr>
        <w:pStyle w:val="ListBullet"/>
        <w:spacing w:after="60" w:line="276" w:lineRule="auto"/>
      </w:pPr>
      <w:r>
        <w:rPr>
          <w:rFonts w:ascii="Arial" w:hAnsi="Arial"/>
          <w:sz w:val="21"/>
        </w:rPr>
        <w:t xml:space="preserve"> Presione 'Scroll Preview' para observar de manera dinámica el recorrido completo que hará el láser (tenga en cuenta que el grabado se ejecuta de la última letra hacia la primera).</w:t>
      </w:r>
    </w:p>
    <w:p>
      <w:pPr>
        <w:pStyle w:val="ListBullet"/>
        <w:spacing w:after="60" w:line="276" w:lineRule="auto"/>
      </w:pPr>
      <w:r>
        <w:rPr>
          <w:rFonts w:ascii="Arial" w:hAnsi="Arial"/>
          <w:sz w:val="21"/>
        </w:rPr>
        <w:t xml:space="preserve"> Ajuste físicamente la posición del termo milimétricamente hasta asegurar que el punto de partida exacto quede alineado sobre el lente.</w:t>
      </w:r>
    </w:p>
    <w:p>
      <w:pPr>
        <w:pStyle w:val="ListBullet"/>
        <w:spacing w:after="60" w:line="276" w:lineRule="auto"/>
      </w:pPr>
      <w:r>
        <w:rPr>
          <w:rFonts w:ascii="Arial" w:hAnsi="Arial"/>
          <w:sz w:val="21"/>
        </w:rPr>
        <w:t xml:space="preserve"> Una vez verificado y conforme el centrado, presione 'Quit Preview'.</w:t>
      </w:r>
    </w:p>
    <w:p>
      <w:pPr>
        <w:keepNext/>
        <w:spacing w:before="240" w:after="120"/>
      </w:pPr>
      <w:r>
        <w:rPr>
          <w:rFonts w:ascii="Arial" w:hAnsi="Arial"/>
          <w:b/>
          <w:color w:val="0052CC"/>
          <w:sz w:val="25"/>
        </w:rPr>
        <w:t>7.5 Tabla de Potencia y Profundidad Obligatoria</w:t>
      </w:r>
    </w:p>
    <w:tbl>
      <w:tblPr>
        <w:tblW w:type="auto" w:w="0"/>
        <w:jc w:val="center"/>
        <w:tblLayout w:type="fixed"/>
        <w:tblLook w:firstColumn="1" w:firstRow="1" w:lastColumn="0" w:lastRow="0" w:noHBand="0" w:noVBand="1" w:val="04A0"/>
      </w:tblPr>
      <w:tblGrid>
        <w:gridCol w:w="3120"/>
        <w:gridCol w:w="3120"/>
        <w:gridCol w:w="3120"/>
      </w:tblGrid>
      <w:tr>
        <w:tc>
          <w:tcPr>
            <w:tcW w:type="dxa" w:w="4320"/>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FFFFFF"/>
                <w:sz w:val="20"/>
              </w:rPr>
              <w:t>Tipo de Grabado Solicitado</w:t>
            </w:r>
          </w:p>
        </w:tc>
        <w:tc>
          <w:tcPr>
            <w:tcW w:type="dxa" w:w="2880"/>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FFFFFF"/>
                <w:sz w:val="20"/>
              </w:rPr>
              <w:t>Parámetro de Potencia (Power)</w:t>
            </w:r>
          </w:p>
        </w:tc>
        <w:tc>
          <w:tcPr>
            <w:tcW w:type="dxa" w:w="2880"/>
            <w:shd w:fill="111827"/>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FFFFFF"/>
                <w:sz w:val="20"/>
              </w:rPr>
              <w:t>Parámetro de Profundidad (Depth)</w:t>
            </w:r>
          </w:p>
        </w:tc>
      </w:tr>
      <w:tr>
        <w:tc>
          <w:tcPr>
            <w:tcW w:type="dxa" w:w="432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Texto Estándar</w:t>
            </w:r>
          </w:p>
        </w:tc>
        <w:tc>
          <w:tcPr>
            <w:tcW w:type="dxa" w:w="288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color w:val="374151"/>
                <w:sz w:val="19"/>
              </w:rPr>
              <w:t>100%</w:t>
            </w:r>
          </w:p>
        </w:tc>
        <w:tc>
          <w:tcPr>
            <w:tcW w:type="dxa" w:w="2880"/>
            <w:shd w:fill="F9FAFB"/>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color w:val="374151"/>
                <w:sz w:val="19"/>
              </w:rPr>
              <w:t>40%</w:t>
            </w:r>
          </w:p>
        </w:tc>
      </w:tr>
      <w:tr>
        <w:tc>
          <w:tcPr>
            <w:tcW w:type="dxa" w:w="432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pPr>
            <w:r/>
            <w:r>
              <w:rPr>
                <w:rFonts w:ascii="Arial" w:hAnsi="Arial"/>
                <w:b/>
                <w:color w:val="374151"/>
                <w:sz w:val="19"/>
              </w:rPr>
              <w:t>Imágenes, Vectores o Logotipos</w:t>
            </w:r>
          </w:p>
        </w:tc>
        <w:tc>
          <w:tcPr>
            <w:tcW w:type="dxa" w:w="288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color w:val="374151"/>
                <w:sz w:val="19"/>
              </w:rPr>
              <w:t>100%</w:t>
            </w:r>
          </w:p>
        </w:tc>
        <w:tc>
          <w:tcPr>
            <w:tcW w:type="dxa" w:w="2880"/>
            <w:shd w:fill="FFFFFF"/>
            <w:tcMar>
              <w:top w:w="100" w:type="dxa"/>
              <w:bottom w:w="100" w:type="dxa"/>
              <w:left w:w="120" w:type="dxa"/>
              <w:right w:w="120" w:type="dxa"/>
            </w:tcMar>
            <w:tcBorders>
              <w:top w:val="single" w:sz="4" w:space="0" w:color="E5E7EB"/>
              <w:left w:val="none" w:sz="4" w:space="0" w:color="auto"/>
              <w:bottom w:val="single" w:sz="4" w:space="0" w:color="E5E7EB"/>
              <w:right w:val="none" w:sz="4" w:space="0" w:color="auto"/>
            </w:tcBorders>
          </w:tcPr>
          <w:p>
            <w:pPr>
              <w:spacing w:after="0" w:line="276" w:lineRule="auto"/>
              <w:jc w:val="center"/>
            </w:pPr>
            <w:r/>
            <w:r>
              <w:rPr>
                <w:rFonts w:ascii="Arial" w:hAnsi="Arial"/>
                <w:color w:val="374151"/>
                <w:sz w:val="19"/>
              </w:rPr>
              <w:t>35% – 45% (Según el grosor del diseño)</w:t>
            </w:r>
          </w:p>
        </w:tc>
      </w:tr>
    </w:tbl>
    <w:p>
      <w:pPr>
        <w:keepNext/>
        <w:spacing w:before="240" w:after="120"/>
      </w:pPr>
      <w:r>
        <w:rPr>
          <w:rFonts w:ascii="Arial" w:hAnsi="Arial"/>
          <w:b/>
          <w:color w:val="0052CC"/>
          <w:sz w:val="25"/>
        </w:rPr>
        <w:t>7.6 Acabado, Control de Calidad y Limpieza</w:t>
      </w:r>
    </w:p>
    <w:p>
      <w:pPr>
        <w:pStyle w:val="ListBullet"/>
        <w:spacing w:after="60" w:line="276" w:lineRule="auto"/>
      </w:pPr>
      <w:r>
        <w:rPr>
          <w:rFonts w:ascii="Arial" w:hAnsi="Arial"/>
          <w:sz w:val="21"/>
        </w:rPr>
        <w:t xml:space="preserve"> Al concluir el proceso de quemado del láser, limpiar meticulosamente la zona grabada utilizando un paño de microfibra limpio humedecido con alcohol isopropílico. Este paso elimina por completo el hollín y los residuos negros flotantes.</w:t>
      </w:r>
    </w:p>
    <w:p>
      <w:pPr>
        <w:pStyle w:val="ListBullet"/>
        <w:spacing w:after="60" w:line="276" w:lineRule="auto"/>
      </w:pPr>
      <w:r>
        <w:rPr>
          <w:rFonts w:ascii="Arial" w:hAnsi="Arial"/>
          <w:sz w:val="21"/>
        </w:rPr>
        <w:t xml:space="preserve"> Evalúe visualmente la nitidez del grabado: si nota zonas borrosas o de menor intensidad, verifique que la curvatura del termo no esté inclinada y que se encuentre siempre alineada directamente encima del lente del láser.</w:t>
      </w:r>
    </w:p>
    <w:p/>
    <w:tbl>
      <w:tblPr>
        <w:tblW w:type="auto" w:w="0"/>
        <w:jc w:val="center"/>
        <w:tblLayout w:type="fixed"/>
        <w:tblLook w:firstColumn="1" w:firstRow="1" w:lastColumn="0" w:lastRow="0" w:noHBand="0" w:noVBand="1" w:val="04A0"/>
      </w:tblPr>
      <w:tblGrid>
        <w:gridCol w:w="8640"/>
      </w:tblGrid>
      <w:tr>
        <w:tc>
          <w:tcPr>
            <w:tcW w:type="dxa" w:w="8640"/>
            <w:shd w:fill="F2F4F7"/>
            <w:tcMar>
              <w:top w:w="140" w:type="dxa"/>
              <w:bottom w:w="140" w:type="dxa"/>
              <w:left w:w="200" w:type="dxa"/>
              <w:right w:w="200" w:type="dxa"/>
            </w:tcMar>
            <w:tcBorders>
              <w:top w:val="none" w:sz="4" w:space="0" w:color="auto"/>
              <w:left w:val="single" w:sz="24" w:space="0" w:color="0052CC"/>
              <w:bottom w:val="none" w:sz="4" w:space="0" w:color="auto"/>
              <w:right w:val="none" w:sz="4" w:space="0" w:color="auto"/>
            </w:tcBorders>
          </w:tcPr>
          <w:p>
            <w:pPr>
              <w:spacing w:before="80" w:after="80" w:line="276" w:lineRule="auto"/>
            </w:pPr>
            <w:r>
              <w:rPr>
                <w:rFonts w:ascii="Arial" w:hAnsi="Arial"/>
                <w:i/>
                <w:color w:val="1F2937"/>
                <w:sz w:val="20"/>
              </w:rPr>
              <w:t>⚠️ NOTA OPERATIVA: Para grabados nítidos en toda la circunferencia, siempre posicionar el punto a grabar directamente encima del lente láser. No inclinar el termo.</w:t>
            </w:r>
          </w:p>
        </w:tc>
      </w:tr>
    </w:tbl>
    <w:p/>
    <w:p>
      <w:pPr>
        <w:jc w:val="center"/>
      </w:pPr>
      <w:r>
        <w:rPr>
          <w:i/>
          <w:color w:val="4B5563"/>
          <w:sz w:val="18"/>
        </w:rPr>
        <w:t>Gerencia Regional CS — Cubitt  |  Contacto de Supervisión: patrick@cubittofficial.com  |  Versión Documental 1.0 (Junio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b w:val="0"/>
      <w:i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