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Nueva Modalidad Única de Rotulaciones</w:t>
      </w:r>
    </w:p>
    <w:p>
      <w:pPr>
        <w:pStyle w:val="1"/>
        <w:spacing w:before="380" w:after="140" w:line="288" w:lineRule="auto"/>
        <w:ind w:left="0"/>
        <w:jc w:val="left"/>
        <w:outlineLvl w:val="0"/>
      </w:pPr>
      <w:bookmarkStart w:name="heading_0" w:id="0"/>
      <w:r>
        <w:rPr>
          <w:rFonts w:eastAsia="等线" w:ascii="Arial" w:cs="Arial" w:hAnsi="Arial"/>
          <w:b w:val="true"/>
          <w:sz w:val="36"/>
        </w:rPr>
        <w:t>Objetivos del proyecto</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Buscamos mejorar y estandarizar procesos para que así se conozca los pasos a seguir de los pasos para rotular, haciendo una guía practica del mecanismo de rotulación: ¿Como debe efectuarse este proceso? y ¿Bajo que opciones delimitarlo?. Aquí lo explicamos y detallamos para toda la organización. </w:t>
            </w:r>
          </w:p>
          <w:p>
            <w:pPr>
              <w:spacing w:before="120" w:after="120" w:line="288" w:lineRule="auto"/>
              <w:ind w:left="0"/>
              <w:jc w:val="left"/>
            </w:pPr>
            <w:r>
              <w:rPr>
                <w:rFonts w:eastAsia="等线" w:ascii="Arial" w:cs="Arial" w:hAnsi="Arial"/>
                <w:b w:val="true"/>
                <w:color w:val="646a73"/>
                <w:sz w:val="22"/>
              </w:rPr>
              <w:t>Las marcas que suelen ofrecer opciones limitadas pero efectivas suelen conseguir resultados más favorables a la larga, que a su vez, se traducen en mayor satisfacción para el usuario.</w:t>
            </w:r>
          </w:p>
        </w:tc>
      </w:tr>
    </w:tbl>
    <w:p>
      <w:pPr>
        <w:pStyle w:val="1"/>
        <w:spacing w:before="380" w:after="140" w:line="288" w:lineRule="auto"/>
        <w:ind w:left="0"/>
        <w:jc w:val="left"/>
        <w:outlineLvl w:val="0"/>
      </w:pPr>
      <w:bookmarkStart w:name="heading_1" w:id="1"/>
      <w:r>
        <w:rPr>
          <w:rFonts w:eastAsia="等线" w:ascii="Arial" w:cs="Arial" w:hAnsi="Arial"/>
          <w:b w:val="true"/>
          <w:sz w:val="36"/>
        </w:rPr>
        <w:t>Descripción de los pasos</w:t>
      </w:r>
      <w:bookmarkEnd w:id="1"/>
    </w:p>
    <w:p>
      <w:pPr>
        <w:numPr>
          <w:numId w:val="1"/>
        </w:numPr>
        <w:spacing w:before="120" w:after="120" w:line="288" w:lineRule="auto"/>
        <w:ind w:left="0"/>
        <w:jc w:val="left"/>
      </w:pPr>
      <w:r>
        <w:rPr>
          <w:rFonts w:eastAsia="等线" w:ascii="Arial" w:cs="Arial" w:hAnsi="Arial"/>
          <w:b w:val="true"/>
          <w:sz w:val="22"/>
          <w:u w:val="single"/>
        </w:rPr>
        <w:t>Nombre</w:t>
      </w:r>
      <w:r>
        <w:rPr>
          <w:rFonts w:eastAsia="等线" w:ascii="Arial" w:cs="Arial" w:hAnsi="Arial"/>
          <w:b w:val="true"/>
          <w:sz w:val="22"/>
        </w:rPr>
        <w:t>: Las medidas para los nombres serán estandarizadas también, por lo que ahora serán con una altura no mayor a media Pulgada (1/2"). La locación del nombre debe ser por default en el lado opuesto del logo.</w:t>
      </w:r>
    </w:p>
    <w:p>
      <w:pPr>
        <w:numPr>
          <w:numId w:val="2"/>
        </w:numPr>
        <w:spacing w:before="120" w:after="120" w:line="288" w:lineRule="auto"/>
        <w:ind w:left="0"/>
        <w:jc w:val="left"/>
      </w:pPr>
      <w:r>
        <w:rPr>
          <w:rFonts w:eastAsia="等线" w:ascii="Arial" w:cs="Arial" w:hAnsi="Arial"/>
          <w:b w:val="true"/>
          <w:sz w:val="22"/>
          <w:u w:val="single"/>
        </w:rPr>
        <w:t>Logo</w:t>
      </w:r>
      <w:r>
        <w:rPr>
          <w:rFonts w:eastAsia="等线" w:ascii="Arial" w:cs="Arial" w:hAnsi="Arial"/>
          <w:b w:val="true"/>
          <w:sz w:val="22"/>
        </w:rPr>
        <w:t>: Esta debe ser la posición del rotulado de los Logos, la mísma debe contar con angulo de distribución centrada en base al logo y las dimenciones: 6 cm de ancho y 6 cm de largo (Como Máximo) Esto permitirá una vista parametrizada de la manera de rotular y por ende una mejor optimización del tiempo. La locación del logo debe ser por default en el adverso del logotipo que viene incorporado ya en todo los termos.</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295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76500" cy="3295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295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76500" cy="3295650"/>
                          </a:xfrm>
                          <a:prstGeom prst="rect">
                            <a:avLst/>
                          </a:prstGeom>
                        </pic:spPr>
                      </pic:pic>
                    </a:graphicData>
                  </a:graphic>
                </wp:inline>
              </w:drawing>
            </w:r>
          </w:p>
        </w:tc>
      </w:tr>
    </w:tbl>
    <w:p>
      <w:pPr>
        <w:pStyle w:val="1"/>
        <w:spacing w:before="380" w:after="140" w:line="288" w:lineRule="auto"/>
        <w:ind w:left="0"/>
        <w:jc w:val="left"/>
        <w:outlineLvl w:val="0"/>
      </w:pPr>
      <w:bookmarkStart w:name="heading_2" w:id="2"/>
      <w:r>
        <w:rPr>
          <w:rFonts w:eastAsia="等线" w:ascii="Arial" w:cs="Arial" w:hAnsi="Arial"/>
          <w:b w:val="true"/>
          <w:sz w:val="36"/>
        </w:rPr>
        <w:t>Tipos de Fuentes</w:t>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Adjunto Encontraremos las fuentes y los parametros para poder realizar el procedimiento.</w:t>
            </w:r>
          </w:p>
        </w:tc>
      </w:tr>
    </w:tbl>
    <w:p>
      <w:pPr>
        <w:numPr>
          <w:numId w:val="3"/>
        </w:numPr>
        <w:spacing w:before="120" w:after="120" w:line="288" w:lineRule="auto"/>
        <w:ind w:left="0"/>
        <w:jc w:val="left"/>
      </w:pPr>
      <w:r>
        <w:rPr>
          <w:rFonts w:eastAsia="等线" w:ascii="Arial" w:cs="Arial" w:hAnsi="Arial"/>
          <w:b w:val="true"/>
          <w:sz w:val="22"/>
          <w:u w:val="single"/>
        </w:rPr>
        <w:t>Selecciones:</w:t>
      </w:r>
      <w:r>
        <w:rPr>
          <w:rFonts w:eastAsia="等线" w:ascii="Arial" w:cs="Arial" w:hAnsi="Arial"/>
          <w:sz w:val="22"/>
        </w:rPr>
        <w:br/>
      </w:r>
    </w:p>
    <w:p>
      <w:pPr>
        <w:spacing w:before="120" w:after="120" w:line="288" w:lineRule="auto"/>
        <w:ind w:left="453"/>
        <w:jc w:val="center"/>
      </w:pPr>
      <w:r>
        <w:drawing>
          <wp:inline distT="0" distR="0" distB="0" distL="0">
            <wp:extent cx="2000250" cy="476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000250" cy="476250"/>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1- Delgada, Estilizada y vanguardista</w:t>
        <w:br/>
      </w:r>
    </w:p>
    <w:p>
      <w:pPr>
        <w:spacing w:before="120" w:after="120" w:line="288" w:lineRule="auto"/>
        <w:ind w:left="453"/>
        <w:jc w:val="center"/>
      </w:pPr>
      <w:r>
        <w:drawing>
          <wp:inline distT="0" distR="0" distB="0" distL="0">
            <wp:extent cx="1990725" cy="790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990725" cy="7905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2- Sutil y Versátil / ACTUAL</w:t>
        <w:br/>
      </w:r>
    </w:p>
    <w:p>
      <w:pPr>
        <w:spacing w:before="120" w:after="120" w:line="288" w:lineRule="auto"/>
        <w:ind w:left="453"/>
        <w:jc w:val="center"/>
      </w:pPr>
      <w:r>
        <w:drawing>
          <wp:inline distT="0" distR="0" distB="0" distL="0">
            <wp:extent cx="2114550" cy="428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114550" cy="42862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 xml:space="preserve">3- Dinámica y Moderna </w:t>
        <w:br/>
      </w:r>
    </w:p>
    <w:p>
      <w:pPr>
        <w:spacing w:before="120" w:after="120" w:line="288" w:lineRule="auto"/>
        <w:ind w:left="453"/>
        <w:jc w:val="center"/>
      </w:pPr>
      <w:r>
        <w:drawing>
          <wp:inline distT="0" distR="0" distB="0" distL="0">
            <wp:extent cx="2752725" cy="771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752725" cy="77152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4- Vintage y Delicada.</w:t>
        <w:br/>
      </w:r>
    </w:p>
    <w:p>
      <w:pPr>
        <w:spacing w:before="120" w:after="120" w:line="288" w:lineRule="auto"/>
        <w:ind w:left="453"/>
        <w:jc w:val="center"/>
      </w:pPr>
      <w:r>
        <w:drawing>
          <wp:inline distT="0" distR="0" distB="0" distL="0">
            <wp:extent cx="2514600" cy="6000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514600" cy="6000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5- Sofisticada y Moderna</w:t>
        <w:br/>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u w:val="single"/>
              </w:rPr>
              <w:t>Impacto</w:t>
            </w:r>
            <w:r>
              <w:rPr>
                <w:rFonts w:eastAsia="等线" w:ascii="Arial" w:cs="Arial" w:hAnsi="Arial"/>
                <w:b w:val="true"/>
                <w:sz w:val="22"/>
              </w:rPr>
              <w:t>:</w:t>
            </w:r>
          </w:p>
          <w:p>
            <w:pPr>
              <w:spacing w:before="120" w:after="120" w:line="288" w:lineRule="auto"/>
              <w:ind w:left="0"/>
              <w:jc w:val="center"/>
            </w:pPr>
            <w:r>
              <w:rPr>
                <w:rFonts w:eastAsia="等线" w:ascii="Arial" w:cs="Arial" w:hAnsi="Arial"/>
                <w:sz w:val="22"/>
              </w:rPr>
              <w:t>Actualmente existen 2 tipos de máquinas rotuladoras, la industrial empleada en la sede principal y las portátiles, distribuidas estratégicamente en los comercios afiliados. Con este documento se busca conocer de antemano el acabado y tipografía de los rotulados, con esta información minímizar cualquier error posible.</w:t>
            </w:r>
          </w:p>
        </w:tc>
      </w:tr>
    </w:tbl>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Tabla de especificaciones para grabar modelos de termos LP5.</w:t>
              </w:r>
            </w:hyperlink>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El acabado de está actividad cuenta con restricciones a su aplicación por Default, </w:t>
            </w:r>
            <w:r>
              <w:rPr>
                <w:rFonts w:eastAsia="等线" w:ascii="Arial" w:cs="Arial" w:hAnsi="Arial"/>
                <w:b w:val="true"/>
                <w:sz w:val="22"/>
              </w:rPr>
              <w:t xml:space="preserve">NO </w:t>
            </w:r>
            <w:r>
              <w:rPr>
                <w:rFonts w:eastAsia="等线" w:ascii="Arial" w:cs="Arial" w:hAnsi="Arial"/>
                <w:sz w:val="22"/>
              </w:rPr>
              <w:t>podemos rotular en ningún escenario ninguno de los termos a continuación: Tie Die's, Cheeta's, Cosmic's, Camo's, Fucsia (5F).</w:t>
            </w:r>
          </w:p>
        </w:tc>
      </w:tr>
    </w:tbl>
    <w:p>
      <w:pPr>
        <w:spacing w:before="120" w:after="120" w:line="288" w:lineRule="auto"/>
        <w:ind w:left="0"/>
        <w:jc w:val="center"/>
      </w:pPr>
      <w:r>
        <w:drawing>
          <wp:inline distT="0" distR="0" distB="0" distL="0">
            <wp:extent cx="4743450" cy="2676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4743450" cy="2676525"/>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Dividiremos los termos por 3 Cuadrantes los cuales nos permitirá estandarizar los que son posiblemente ''</w:t>
            </w:r>
            <w:r>
              <w:rPr>
                <w:rFonts w:eastAsia="等线" w:ascii="Arial" w:cs="Arial" w:hAnsi="Arial"/>
                <w:b w:val="true"/>
                <w:i w:val="true"/>
                <w:sz w:val="22"/>
              </w:rPr>
              <w:t>Rotulables</w:t>
            </w:r>
            <w:r>
              <w:rPr>
                <w:rFonts w:eastAsia="等线" w:ascii="Arial" w:cs="Arial" w:hAnsi="Arial"/>
                <w:sz w:val="22"/>
              </w:rPr>
              <w:t xml:space="preserve">'', de los que no, donde la regla mas importante es que sea aplicable en espacios considerados de la mitad del mismo hasta abajo en los modelos Jr. </w:t>
              <w:br/>
            </w:r>
            <w:r>
              <w:rPr>
                <w:rFonts w:eastAsia="等线" w:ascii="Arial" w:cs="Arial" w:hAnsi="Arial"/>
                <w:sz w:val="22"/>
              </w:rPr>
              <w:t xml:space="preserve">1- </w:t>
            </w:r>
            <w:r>
              <w:rPr>
                <w:rFonts w:eastAsia="等线" w:ascii="Arial" w:cs="Arial" w:hAnsi="Arial"/>
                <w:b w:val="true"/>
                <w:sz w:val="22"/>
                <w:u w:val="single"/>
              </w:rPr>
              <w:t>Cuadrante número 1</w:t>
            </w:r>
            <w:r>
              <w:rPr>
                <w:rFonts w:eastAsia="等线" w:ascii="Arial" w:cs="Arial" w:hAnsi="Arial"/>
                <w:b w:val="true"/>
                <w:sz w:val="22"/>
              </w:rPr>
              <w:t>:</w:t>
            </w:r>
            <w:r>
              <w:rPr>
                <w:rFonts w:eastAsia="等线" w:ascii="Arial" w:cs="Arial" w:hAnsi="Arial"/>
                <w:sz w:val="22"/>
              </w:rPr>
              <w:t xml:space="preserve"> con relación al Isotipo de de la marca, únicamente el Logo, será el único ángulo referencial para poder rotular, todos los que en este espacio tengan la capacidad de soportar un nombre de dimensiones con media pulgada </w:t>
            </w:r>
            <w:r>
              <w:rPr>
                <w:rFonts w:eastAsia="等线" w:ascii="Arial" w:cs="Arial" w:hAnsi="Arial"/>
                <w:b w:val="true"/>
                <w:sz w:val="22"/>
              </w:rPr>
              <w:t>1/2'</w:t>
            </w:r>
            <w:r>
              <w:rPr>
                <w:rFonts w:eastAsia="等线" w:ascii="Arial" w:cs="Arial" w:hAnsi="Arial"/>
                <w:sz w:val="22"/>
              </w:rPr>
              <w:t xml:space="preserve">' de altura y espesor y máximo </w:t>
            </w:r>
            <w:r>
              <w:rPr>
                <w:rFonts w:eastAsia="等线" w:ascii="Arial" w:cs="Arial" w:hAnsi="Arial"/>
                <w:b w:val="true"/>
                <w:sz w:val="22"/>
              </w:rPr>
              <w:t>7 cm</w:t>
            </w:r>
            <w:r>
              <w:rPr>
                <w:rFonts w:eastAsia="等线" w:ascii="Arial" w:cs="Arial" w:hAnsi="Arial"/>
                <w:sz w:val="22"/>
              </w:rPr>
              <w:t xml:space="preserve"> de largo.</w:t>
              <w:br/>
            </w:r>
            <w:r>
              <w:rPr>
                <w:rFonts w:eastAsia="等线" w:ascii="Arial" w:cs="Arial" w:hAnsi="Arial"/>
                <w:sz w:val="22"/>
              </w:rPr>
              <w:t xml:space="preserve">2- </w:t>
            </w:r>
            <w:r>
              <w:rPr>
                <w:rFonts w:eastAsia="等线" w:ascii="Arial" w:cs="Arial" w:hAnsi="Arial"/>
                <w:b w:val="true"/>
                <w:sz w:val="22"/>
                <w:u w:val="single"/>
              </w:rPr>
              <w:t>Cuadrante número 2</w:t>
            </w:r>
            <w:r>
              <w:rPr>
                <w:rFonts w:eastAsia="等线" w:ascii="Arial" w:cs="Arial" w:hAnsi="Arial"/>
                <w:b w:val="true"/>
                <w:sz w:val="22"/>
              </w:rPr>
              <w:t>:</w:t>
            </w:r>
            <w:r>
              <w:rPr>
                <w:rFonts w:eastAsia="等线" w:ascii="Arial" w:cs="Arial" w:hAnsi="Arial"/>
                <w:sz w:val="22"/>
              </w:rPr>
              <w:t xml:space="preserve"> Donde no hay patrones de referencia como isotipo o nombre de la marca,  como en la imagen a continuación, serán las únicas excepciones permitidas por su relevancia a nivel estético. </w:t>
              <w:br/>
            </w:r>
            <w:r>
              <w:rPr>
                <w:rFonts w:eastAsia="等线" w:ascii="Arial" w:cs="Arial" w:hAnsi="Arial"/>
                <w:sz w:val="22"/>
              </w:rPr>
              <w:t xml:space="preserve">3- </w:t>
            </w:r>
            <w:r>
              <w:rPr>
                <w:rFonts w:eastAsia="等线" w:ascii="Arial" w:cs="Arial" w:hAnsi="Arial"/>
                <w:b w:val="true"/>
                <w:sz w:val="22"/>
                <w:u w:val="single"/>
              </w:rPr>
              <w:t>Cuadrante número 3</w:t>
            </w:r>
            <w:r>
              <w:rPr>
                <w:rFonts w:eastAsia="等线" w:ascii="Arial" w:cs="Arial" w:hAnsi="Arial"/>
                <w:b w:val="true"/>
                <w:sz w:val="22"/>
              </w:rPr>
              <w:t>:</w:t>
            </w:r>
            <w:r>
              <w:rPr>
                <w:rFonts w:eastAsia="等线" w:ascii="Arial" w:cs="Arial" w:hAnsi="Arial"/>
                <w:sz w:val="22"/>
              </w:rPr>
              <w:t xml:space="preserve"> Es considerado con espacio suficiente solo por encima de la mitad y por ende se considera que no se debe rotular en esta área para no salir de la metodología planteada. (Sin excepciones). Ningún nombre podrá rotular se por sobre la mitad del termo como base del criterio de parametrización.</w:t>
              <w:br/>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2133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1600200" cy="2133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jc w:val="center"/>
            </w:pPr>
            <w:r>
              <w:rPr>
                <w:rFonts w:eastAsia="等线" w:ascii="Arial" w:cs="Arial" w:hAnsi="Arial"/>
                <w:b w:val="true"/>
                <w:i w:val="true"/>
                <w:sz w:val="22"/>
              </w:rPr>
              <w:t xml:space="preserve"> primer cuadrante </w:t>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21336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1600200" cy="2133600"/>
                          </a:xfrm>
                          <a:prstGeom prst="rect">
                            <a:avLst/>
                          </a:prstGeom>
                        </pic:spPr>
                      </pic:pic>
                    </a:graphicData>
                  </a:graphic>
                </wp:inline>
              </w:drawing>
            </w:r>
          </w:p>
          <w:p>
            <w:pPr>
              <w:spacing w:before="120" w:after="120" w:line="288" w:lineRule="auto"/>
              <w:ind w:left="0"/>
              <w:jc w:val="center"/>
            </w:pPr>
            <w:r>
              <w:rPr>
                <w:rFonts w:eastAsia="等线" w:ascii="Arial" w:cs="Arial" w:hAnsi="Arial"/>
                <w:b w:val="true"/>
                <w:i w:val="true"/>
                <w:sz w:val="22"/>
              </w:rPr>
              <w:t>Segundo cuadrante</w:t>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2133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1600200" cy="2133600"/>
                          </a:xfrm>
                          <a:prstGeom prst="rect">
                            <a:avLst/>
                          </a:prstGeom>
                        </pic:spPr>
                      </pic:pic>
                    </a:graphicData>
                  </a:graphic>
                </wp:inline>
              </w:drawing>
            </w:r>
          </w:p>
          <w:p>
            <w:pPr>
              <w:spacing w:before="120" w:after="120" w:line="288" w:lineRule="auto"/>
              <w:ind w:left="0"/>
              <w:jc w:val="center"/>
            </w:pPr>
            <w:r>
              <w:rPr>
                <w:rFonts w:eastAsia="等线" w:ascii="Arial" w:cs="Arial" w:hAnsi="Arial"/>
                <w:b w:val="true"/>
                <w:i w:val="true"/>
                <w:sz w:val="22"/>
              </w:rPr>
              <w:t>Tercer cuadrante</w:t>
            </w:r>
          </w:p>
        </w:tc>
      </w:tr>
    </w:tbl>
    <w:p>
      <w:pPr>
        <w:spacing w:before="120" w:after="120" w:line="288" w:lineRule="auto"/>
        <w:ind w:left="0"/>
        <w:jc w:val="center"/>
      </w:pPr>
      <w:r>
        <w:drawing>
          <wp:inline distT="0" distR="0" distB="0" distL="0">
            <wp:extent cx="2628900" cy="35052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2628900" cy="3505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Tumbler Al igual que Los Jr debe seguir este mismo patrón, por debajo de la mitad y del lado del 1er cuadrante.</w:t>
        <w:br/>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039"/>
        <w:gridCol w:w="2736"/>
        <w:gridCol w:w="2504"/>
      </w:tblGrid>
      <w:tr>
        <w:tc>
          <w:tcPr>
            <w:tcW w:w="3039" w:type="dxa"/>
            <w:tcMar>
              <w:top w:type="dxa" w:w="60"/>
              <w:left w:type="dxa" w:w="120"/>
              <w:bottom w:type="dxa" w:w="30"/>
              <w:right w:type="dxa" w:w="120"/>
            </w:tcMar>
          </w:tcPr>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2799"/>
            </w:tblGrid>
            <w:tr>
              <w:tc>
                <w:tcPr>
                  <w:tcW w:w="2799" w:type="dxa"/>
                  <w:tcMar>
                    <w:top w:type="dxa" w:w="60"/>
                    <w:left w:type="dxa" w:w="120"/>
                    <w:bottom w:type="dxa" w:w="30"/>
                    <w:right w:type="dxa" w:w="120"/>
                  </w:tcMar>
                </w:tcPr>
                <w:p>
                  <w:pPr>
                    <w:spacing w:before="120" w:after="120" w:line="288" w:lineRule="auto"/>
                    <w:ind w:left="0"/>
                    <w:jc w:val="center"/>
                  </w:pPr>
                  <w:r>
                    <w:drawing>
                      <wp:inline distT="0" distR="0" distB="0" distL="0">
                        <wp:extent cx="1619250" cy="21621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1619250" cy="216217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tc>
        <w:tc>
          <w:tcPr>
            <w:tcW w:w="2736"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i w:val="true"/>
                <w:sz w:val="22"/>
              </w:rPr>
              <w:t xml:space="preserve">Prueba no 1 y 2 (Positivo) </w:t>
            </w:r>
          </w:p>
          <w:p>
            <w:pPr>
              <w:spacing w:before="120" w:after="120" w:line="288" w:lineRule="auto"/>
              <w:ind w:left="0"/>
              <w:jc w:val="center"/>
            </w:pPr>
            <w:r>
              <w:drawing>
                <wp:inline distT="0" distR="0" distB="0" distL="0">
                  <wp:extent cx="1581150" cy="21050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1581150" cy="2105025"/>
                          </a:xfrm>
                          <a:prstGeom prst="rect">
                            <a:avLst/>
                          </a:prstGeom>
                        </pic:spPr>
                      </pic:pic>
                    </a:graphicData>
                  </a:graphic>
                </wp:inline>
              </w:drawing>
            </w:r>
          </w:p>
          <w:p>
            <w:pPr>
              <w:spacing w:before="120" w:after="120" w:line="288" w:lineRule="auto"/>
              <w:ind w:left="0"/>
              <w:jc w:val="left"/>
            </w:pPr>
          </w:p>
        </w:tc>
        <w:tc>
          <w:tcPr>
            <w:tcW w:w="2504"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i w:val="true"/>
                <w:sz w:val="22"/>
              </w:rPr>
              <w:t>Prueba no 3 (Negativo)</w:t>
            </w:r>
          </w:p>
          <w:p>
            <w:pPr>
              <w:spacing w:before="120" w:after="120" w:line="288" w:lineRule="auto"/>
              <w:ind w:left="0"/>
              <w:jc w:val="center"/>
            </w:pPr>
            <w:r>
              <w:drawing>
                <wp:inline distT="0" distR="0" distB="0" distL="0">
                  <wp:extent cx="1428750" cy="19145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1428750" cy="1914525"/>
                          </a:xfrm>
                          <a:prstGeom prst="rect">
                            <a:avLst/>
                          </a:prstGeom>
                        </pic:spPr>
                      </pic:pic>
                    </a:graphicData>
                  </a:graphic>
                </wp:inline>
              </w:drawing>
            </w:r>
          </w:p>
          <w:p>
            <w:pPr>
              <w:spacing w:before="120" w:after="120" w:line="288" w:lineRule="auto"/>
              <w:ind w:left="0"/>
              <w:jc w:val="left"/>
            </w:pPr>
          </w:p>
        </w:tc>
      </w:tr>
    </w:tbl>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El incumplimiento de estás reglas incurrirá en una falta a la trayectoria de lo que busca la organización entera, por favor Abstenerse.</w:t>
            </w:r>
            <w:r>
              <w:rPr>
                <w:rFonts w:eastAsia="等线" w:ascii="Arial" w:cs="Arial" w:hAnsi="Arial"/>
                <w:sz w:val="22"/>
              </w:rPr>
              <w:br/>
              <w:br/>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m:t>
                </m:r>
                <m:r>
                  <w:rPr>
                    <w:rFonts w:ascii="Cambria Math" w:hAnsi="Cambria Math"/>
                  </w:rPr>
                  <m:t>2Pulgada−7CmMáximo−desdeelmedioparaabajo−Cuadrantes1y2.</m:t>
                </m:r>
              </m:oMath>
            </m:oMathPara>
          </w:p>
        </w:tc>
      </w:tr>
    </w:tbl>
    <w:p>
      <w:pPr>
        <w:spacing w:before="120" w:after="120" w:line="288" w:lineRule="auto"/>
        <w:ind w:left="0"/>
        <w:jc w:val="left"/>
      </w:pPr>
      <w:r>
        <w:rPr>
          <w:rFonts w:eastAsia="等线" w:ascii="Arial" w:cs="Arial" w:hAnsi="Arial"/>
          <w:b w:val="true"/>
          <w:color w:val="646a73"/>
          <w:sz w:val="22"/>
        </w:rPr>
        <w:t>[bebas_neue (1).zip]</w:t>
      </w:r>
    </w:p>
    <w:p>
      <w:pPr>
        <w:spacing w:before="120" w:after="120" w:line="288" w:lineRule="auto"/>
        <w:ind w:left="0"/>
        <w:jc w:val="left"/>
      </w:pPr>
      <w:r>
        <w:rPr>
          <w:rFonts w:eastAsia="等线" w:ascii="Arial" w:cs="Arial" w:hAnsi="Arial"/>
          <w:b w:val="true"/>
          <w:color w:val="646a73"/>
          <w:sz w:val="22"/>
        </w:rPr>
        <w:t>[FUENTES.png]</w:t>
      </w:r>
    </w:p>
    <w:p>
      <w:pPr>
        <w:spacing w:before="120" w:after="120" w:line="288" w:lineRule="auto"/>
        <w:ind w:left="0"/>
        <w:jc w:val="left"/>
      </w:pPr>
      <w:r>
        <w:rPr>
          <w:rFonts w:eastAsia="等线" w:ascii="Arial" w:cs="Arial" w:hAnsi="Arial"/>
          <w:b w:val="true"/>
          <w:color w:val="646a73"/>
          <w:sz w:val="22"/>
        </w:rPr>
        <w:t>[Futura Bold (1).otf]</w:t>
      </w:r>
    </w:p>
    <w:p>
      <w:pPr>
        <w:spacing w:before="120" w:after="120" w:line="288" w:lineRule="auto"/>
        <w:ind w:left="0"/>
        <w:jc w:val="left"/>
      </w:pPr>
      <w:r>
        <w:rPr>
          <w:rFonts w:eastAsia="等线" w:ascii="Arial" w:cs="Arial" w:hAnsi="Arial"/>
          <w:b w:val="true"/>
          <w:color w:val="646a73"/>
          <w:sz w:val="22"/>
        </w:rPr>
        <w:t>[Futura Bold(1) (1).otf]</w:t>
      </w:r>
    </w:p>
    <w:p>
      <w:pPr>
        <w:spacing w:before="120" w:after="120" w:line="288" w:lineRule="auto"/>
        <w:ind w:left="0"/>
        <w:jc w:val="left"/>
      </w:pPr>
      <w:r>
        <w:rPr>
          <w:rFonts w:eastAsia="等线" w:ascii="Arial" w:cs="Arial" w:hAnsi="Arial"/>
          <w:b w:val="true"/>
          <w:color w:val="646a73"/>
          <w:sz w:val="22"/>
        </w:rPr>
        <w:t>[Futura Heavy (1).otf]</w:t>
      </w:r>
    </w:p>
    <w:p>
      <w:pPr>
        <w:spacing w:before="120" w:after="120" w:line="288" w:lineRule="auto"/>
        <w:ind w:left="0"/>
        <w:jc w:val="left"/>
      </w:pPr>
      <w:r>
        <w:rPr>
          <w:rFonts w:eastAsia="等线" w:ascii="Arial" w:cs="Arial" w:hAnsi="Arial"/>
          <w:b w:val="true"/>
          <w:color w:val="646a73"/>
          <w:sz w:val="22"/>
        </w:rPr>
        <w:t>[Futura Light (1).otf]</w:t>
      </w:r>
    </w:p>
    <w:p>
      <w:pPr>
        <w:spacing w:before="120" w:after="120" w:line="288" w:lineRule="auto"/>
        <w:ind w:left="0"/>
        <w:jc w:val="left"/>
      </w:pPr>
      <w:r>
        <w:rPr>
          <w:rFonts w:eastAsia="等线" w:ascii="Arial" w:cs="Arial" w:hAnsi="Arial"/>
          <w:b w:val="true"/>
          <w:color w:val="646a73"/>
          <w:sz w:val="22"/>
        </w:rPr>
        <w:t>[Futura Medium (1).otf]</w:t>
      </w:r>
    </w:p>
    <w:p>
      <w:pPr>
        <w:spacing w:before="120" w:after="120" w:line="288" w:lineRule="auto"/>
        <w:ind w:left="0"/>
        <w:jc w:val="left"/>
      </w:pPr>
      <w:r>
        <w:rPr>
          <w:rFonts w:eastAsia="等线" w:ascii="Arial" w:cs="Arial" w:hAnsi="Arial"/>
          <w:b w:val="true"/>
          <w:color w:val="646a73"/>
          <w:sz w:val="22"/>
        </w:rPr>
        <w:t>[Futura Medium (2) (1).otf]</w:t>
      </w:r>
    </w:p>
    <w:p>
      <w:pPr>
        <w:spacing w:before="120" w:after="120" w:line="288" w:lineRule="auto"/>
        <w:ind w:left="0"/>
        <w:jc w:val="left"/>
      </w:pPr>
      <w:r>
        <w:rPr>
          <w:rFonts w:eastAsia="等线" w:ascii="Arial" w:cs="Arial" w:hAnsi="Arial"/>
          <w:b w:val="true"/>
          <w:color w:val="646a73"/>
          <w:sz w:val="22"/>
        </w:rPr>
        <w:t>[Futura Regular (1).ttf]</w:t>
      </w:r>
    </w:p>
    <w:p>
      <w:pPr>
        <w:spacing w:before="120" w:after="120" w:line="288" w:lineRule="auto"/>
        <w:ind w:left="0"/>
        <w:jc w:val="left"/>
      </w:pPr>
      <w:r>
        <w:rPr>
          <w:rFonts w:eastAsia="等线" w:ascii="Arial" w:cs="Arial" w:hAnsi="Arial"/>
          <w:b w:val="true"/>
          <w:color w:val="646a73"/>
          <w:sz w:val="22"/>
        </w:rPr>
        <w:t>[katiemilky (1).zip]</w:t>
      </w:r>
    </w:p>
    <w:p>
      <w:pPr>
        <w:spacing w:before="120" w:after="120" w:line="288" w:lineRule="auto"/>
        <w:ind w:left="0"/>
        <w:jc w:val="left"/>
      </w:pPr>
      <w:r>
        <w:rPr>
          <w:rFonts w:eastAsia="等线" w:ascii="Arial" w:cs="Arial" w:hAnsi="Arial"/>
          <w:b w:val="true"/>
          <w:color w:val="646a73"/>
          <w:sz w:val="22"/>
        </w:rPr>
        <w:t>[Nueva Modalidad Única de Rotulaciones.pdf]</w:t>
      </w:r>
    </w:p>
    <w:p>
      <w:pPr>
        <w:spacing w:before="120" w:after="120" w:line="288" w:lineRule="auto"/>
        <w:ind w:left="0"/>
        <w:jc w:val="left"/>
      </w:pPr>
      <w:r>
        <w:rPr>
          <w:rFonts w:eastAsia="等线" w:ascii="Arial" w:cs="Arial" w:hAnsi="Arial"/>
          <w:b w:val="true"/>
          <w:color w:val="646a73"/>
          <w:sz w:val="22"/>
        </w:rPr>
        <w:t>[Parametrización de Rotulación.pdf]</w:t>
      </w:r>
    </w:p>
    <w:p>
      <w:pPr>
        <w:spacing w:before="120" w:after="120" w:line="288" w:lineRule="auto"/>
        <w:ind w:left="0"/>
        <w:jc w:val="left"/>
      </w:pPr>
      <w:r>
        <w:rPr>
          <w:rFonts w:eastAsia="等线" w:ascii="Arial" w:cs="Arial" w:hAnsi="Arial"/>
          <w:b w:val="true"/>
          <w:color w:val="646a73"/>
          <w:sz w:val="22"/>
        </w:rPr>
        <w:t>[Space_Grotesk (1).zip]</w:t>
      </w:r>
    </w:p>
    <w:p>
      <w:pPr>
        <w:spacing w:before="120" w:after="120" w:line="288" w:lineRule="auto"/>
        <w:ind w:left="0"/>
        <w:jc w:val="left"/>
      </w:pPr>
      <w:r>
        <w:rPr>
          <w:rFonts w:eastAsia="等线" w:ascii="Arial" w:cs="Arial" w:hAnsi="Arial"/>
          <w:b w:val="true"/>
          <w:color w:val="646a73"/>
          <w:sz w:val="22"/>
        </w:rPr>
        <w:t>[sunny_spells (1).zip]</w:t>
      </w:r>
    </w:p>
    <w:p>
      <w:pPr>
        <w:spacing w:before="120" w:after="120" w:line="288" w:lineRule="auto"/>
        <w:ind w:left="0"/>
        <w:jc w:val="left"/>
      </w:pP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0246">
    <w:lvl>
      <w:start w:val="1"/>
      <w:numFmt w:val="decimal"/>
      <w:suff w:val="tab"/>
      <w:lvlText w:val="%1."/>
      <w:rPr>
        <w:color w:val="3370ff"/>
      </w:rPr>
    </w:lvl>
  </w:abstractNum>
  <w:abstractNum w:abstractNumId="120247">
    <w:lvl>
      <w:start w:val="2"/>
      <w:numFmt w:val="decimal"/>
      <w:suff w:val="tab"/>
      <w:lvlText w:val="%1."/>
      <w:rPr>
        <w:color w:val="3370ff"/>
      </w:rPr>
    </w:lvl>
  </w:abstractNum>
  <w:abstractNum w:abstractNumId="120248">
    <w:lvl>
      <w:numFmt w:val="bullet"/>
      <w:suff w:val="tab"/>
      <w:lvlText w:val="•"/>
      <w:rPr>
        <w:color w:val="3370ff"/>
      </w:rPr>
    </w:lvl>
  </w:abstractNum>
  <w:num w:numId="1">
    <w:abstractNumId w:val="120246"/>
  </w:num>
  <w:num w:numId="2">
    <w:abstractNumId w:val="120247"/>
  </w:num>
  <w:num w:numId="3">
    <w:abstractNumId w:val="1202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ttps://kenextrading.sg.larksuite.com/wiki/EKT4wY0SFiV5dHk78A0lca1JgQb?from=from_copylink" TargetMode="External" Type="http://schemas.openxmlformats.org/officeDocument/2006/relationships/hyperlink"/><Relationship Id="rId13" Target="media/image8.jpeg" Type="http://schemas.openxmlformats.org/officeDocument/2006/relationships/image"/><Relationship Id="rId14" Target="media/image9.jpeg" Type="http://schemas.openxmlformats.org/officeDocument/2006/relationships/image"/><Relationship Id="rId15" Target="media/image10.jpeg" Type="http://schemas.openxmlformats.org/officeDocument/2006/relationships/image"/><Relationship Id="rId16" Target="media/image11.jpeg" Type="http://schemas.openxmlformats.org/officeDocument/2006/relationships/image"/><Relationship Id="rId17" Target="media/image12.jpeg" Type="http://schemas.openxmlformats.org/officeDocument/2006/relationships/image"/><Relationship Id="rId18" Target="media/image13.jpe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jpeg" Type="http://schemas.openxmlformats.org/officeDocument/2006/relationships/image"/><Relationship Id="rId21"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jpe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2026-07-14T19:11:33Z</dcterms:created>
  <dc:creator>Apache POI</dc:creator>
</cp:coreProperties>
</file>