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D0C78" w14:textId="77777777" w:rsidR="00214B00" w:rsidRPr="003E136F" w:rsidRDefault="00214B00" w:rsidP="003E136F">
      <w:pPr>
        <w:jc w:val="both"/>
        <w:rPr>
          <w:sz w:val="22"/>
          <w:szCs w:val="22"/>
          <w:lang w:val="es-VE"/>
        </w:rPr>
      </w:pPr>
    </w:p>
    <w:p w14:paraId="296BB9D9" w14:textId="77777777" w:rsidR="003E136F" w:rsidRPr="003E136F" w:rsidRDefault="003E136F" w:rsidP="003E136F">
      <w:pPr>
        <w:jc w:val="center"/>
        <w:rPr>
          <w:b/>
          <w:bCs/>
          <w:sz w:val="22"/>
          <w:szCs w:val="22"/>
          <w:lang w:val="es-VE"/>
        </w:rPr>
      </w:pPr>
      <w:r w:rsidRPr="003E136F">
        <w:rPr>
          <w:b/>
          <w:bCs/>
          <w:sz w:val="22"/>
          <w:szCs w:val="22"/>
          <w:lang w:val="es-VE"/>
        </w:rPr>
        <w:t>POLÍTICA DE INDEMNIZACIONES Y LIQUIDACIONES (MARCO LEGAL VENEZOLANO - LOTTT)</w:t>
      </w:r>
    </w:p>
    <w:p w14:paraId="24C578A0" w14:textId="77777777" w:rsidR="003E136F" w:rsidRPr="003E136F" w:rsidRDefault="003E136F" w:rsidP="003E136F">
      <w:pPr>
        <w:jc w:val="both"/>
        <w:rPr>
          <w:b/>
          <w:bCs/>
          <w:sz w:val="22"/>
          <w:szCs w:val="22"/>
          <w:lang w:val="es-VE"/>
        </w:rPr>
      </w:pPr>
      <w:r w:rsidRPr="003E136F">
        <w:rPr>
          <w:b/>
          <w:bCs/>
          <w:sz w:val="22"/>
          <w:szCs w:val="22"/>
          <w:lang w:val="es-VE"/>
        </w:rPr>
        <w:t>1. OBJETIVO</w:t>
      </w:r>
    </w:p>
    <w:p w14:paraId="46B14DD8" w14:textId="77777777" w:rsidR="003E136F" w:rsidRPr="003E136F" w:rsidRDefault="003E136F" w:rsidP="003E136F">
      <w:pPr>
        <w:jc w:val="both"/>
        <w:rPr>
          <w:sz w:val="22"/>
          <w:szCs w:val="22"/>
          <w:lang w:val="es-VE"/>
        </w:rPr>
      </w:pPr>
      <w:r w:rsidRPr="003E136F">
        <w:rPr>
          <w:sz w:val="22"/>
          <w:szCs w:val="22"/>
          <w:lang w:val="es-VE"/>
        </w:rPr>
        <w:t>Establecer las directrices, metodologías de cálculo y responsabilidades internas para el procesamiento, pago y validación de las liquidaciones de prestaciones sociales e indemnizaciones del personal de la organización en Venezuela. Esta política garantiza el estricto apego a la LOTTT, la mitigación de pasivos laborales, y la transparencia financiera en los egresos del personal.</w:t>
      </w:r>
    </w:p>
    <w:p w14:paraId="1B042865" w14:textId="77777777" w:rsidR="003E136F" w:rsidRPr="003E136F" w:rsidRDefault="003E136F" w:rsidP="003E136F">
      <w:pPr>
        <w:jc w:val="both"/>
        <w:rPr>
          <w:b/>
          <w:bCs/>
          <w:sz w:val="22"/>
          <w:szCs w:val="22"/>
          <w:lang w:val="es-VE"/>
        </w:rPr>
      </w:pPr>
      <w:r w:rsidRPr="003E136F">
        <w:rPr>
          <w:b/>
          <w:bCs/>
          <w:sz w:val="22"/>
          <w:szCs w:val="22"/>
          <w:lang w:val="es-VE"/>
        </w:rPr>
        <w:t>2. ALCANCE</w:t>
      </w:r>
    </w:p>
    <w:p w14:paraId="42AAF03F" w14:textId="77777777" w:rsidR="00FE3A20" w:rsidRPr="00214B00" w:rsidRDefault="00FE3A20" w:rsidP="00FE3A20">
      <w:pPr>
        <w:jc w:val="both"/>
        <w:rPr>
          <w:sz w:val="22"/>
          <w:szCs w:val="22"/>
          <w:lang w:val="es-VE"/>
        </w:rPr>
      </w:pPr>
      <w:r w:rsidRPr="00214B00">
        <w:rPr>
          <w:sz w:val="22"/>
          <w:szCs w:val="22"/>
          <w:lang w:val="es-VE"/>
        </w:rPr>
        <w:t>Esta política aplica de manera obligatoria a todo el personal directo que mantenga una relación laboral con la organización y unidades de negocio con localización en Venezuela, incluyendo personal operativo, administrativo, mandos medios y posiciones gerenciales o directivas.</w:t>
      </w:r>
    </w:p>
    <w:p w14:paraId="36BC5DEA" w14:textId="77777777" w:rsidR="003E136F" w:rsidRPr="003E136F" w:rsidRDefault="003E136F" w:rsidP="003E136F">
      <w:pPr>
        <w:jc w:val="both"/>
        <w:rPr>
          <w:b/>
          <w:bCs/>
          <w:sz w:val="22"/>
          <w:szCs w:val="22"/>
          <w:lang w:val="es-VE"/>
        </w:rPr>
      </w:pPr>
      <w:r w:rsidRPr="003E136F">
        <w:rPr>
          <w:b/>
          <w:bCs/>
          <w:sz w:val="22"/>
          <w:szCs w:val="22"/>
          <w:lang w:val="es-VE"/>
        </w:rPr>
        <w:t>3. CONCEPTOS BÁSICOS Y TIPOS DE SALARIO PARA EL CÁLCULO</w:t>
      </w:r>
    </w:p>
    <w:p w14:paraId="03333C4A" w14:textId="77777777" w:rsidR="003E136F" w:rsidRPr="003E136F" w:rsidRDefault="003E136F" w:rsidP="003E136F">
      <w:pPr>
        <w:numPr>
          <w:ilvl w:val="0"/>
          <w:numId w:val="9"/>
        </w:numPr>
        <w:jc w:val="both"/>
        <w:rPr>
          <w:sz w:val="22"/>
          <w:szCs w:val="22"/>
          <w:lang w:val="es-VE"/>
        </w:rPr>
      </w:pPr>
      <w:r w:rsidRPr="003E136F">
        <w:rPr>
          <w:sz w:val="22"/>
          <w:szCs w:val="22"/>
          <w:lang w:val="es-VE"/>
        </w:rPr>
        <w:t>Salario Integral (Art. 122 LOTTT): Es el salario utilizado para el cálculo de las Prestaciones Sociales y las Indemnizaciones por terminación de la relación de trabajo. Se compone del salario normal mensual más la alícuota correspondiente de las utilidades anuales y la alícuota del bono vacacional.</w:t>
      </w:r>
    </w:p>
    <w:p w14:paraId="5F9C8546" w14:textId="70F90132" w:rsidR="003E136F" w:rsidRPr="003E136F" w:rsidRDefault="003E136F" w:rsidP="003E136F">
      <w:pPr>
        <w:numPr>
          <w:ilvl w:val="0"/>
          <w:numId w:val="9"/>
        </w:numPr>
        <w:jc w:val="both"/>
        <w:rPr>
          <w:sz w:val="22"/>
          <w:szCs w:val="22"/>
          <w:lang w:val="es-VE"/>
        </w:rPr>
      </w:pPr>
      <w:r w:rsidRPr="003E136F">
        <w:rPr>
          <w:sz w:val="22"/>
          <w:szCs w:val="22"/>
          <w:lang w:val="es-VE"/>
        </w:rPr>
        <w:t>Salario Normal (Art. 104 LOTTT): Es la remuneración devengada por el trabajador de forma regular y permanente (sueldo base, comisiones, bonos fijos, horas extras constantes, etc.). Se utiliza para el cálculo de vacaciones, utilidades, horas extras y días feriados.</w:t>
      </w:r>
      <w:r>
        <w:rPr>
          <w:sz w:val="22"/>
          <w:szCs w:val="22"/>
          <w:lang w:val="es-VE"/>
        </w:rPr>
        <w:t xml:space="preserve"> Comprende el salario de los Últimos 6 meses.</w:t>
      </w:r>
    </w:p>
    <w:p w14:paraId="12B1B696" w14:textId="77777777" w:rsidR="003E136F" w:rsidRPr="003E136F" w:rsidRDefault="003E136F" w:rsidP="003E136F">
      <w:pPr>
        <w:jc w:val="both"/>
        <w:rPr>
          <w:b/>
          <w:bCs/>
          <w:sz w:val="22"/>
          <w:szCs w:val="22"/>
          <w:lang w:val="es-VE"/>
        </w:rPr>
      </w:pPr>
      <w:r w:rsidRPr="003E136F">
        <w:rPr>
          <w:b/>
          <w:bCs/>
          <w:sz w:val="22"/>
          <w:szCs w:val="22"/>
          <w:lang w:val="es-VE"/>
        </w:rPr>
        <w:t>4. ESTRUCTURA DE LA LIQUIDACIÓN CONCEPTO POR CONCEPTO</w:t>
      </w:r>
    </w:p>
    <w:p w14:paraId="5B031576" w14:textId="499CFDB3" w:rsidR="003E136F" w:rsidRPr="00D7296C" w:rsidRDefault="003E136F" w:rsidP="003E136F">
      <w:pPr>
        <w:jc w:val="both"/>
        <w:rPr>
          <w:b/>
          <w:bCs/>
          <w:sz w:val="22"/>
          <w:szCs w:val="22"/>
          <w:lang w:val="es-VE"/>
        </w:rPr>
      </w:pPr>
      <w:r w:rsidRPr="00D7296C">
        <w:rPr>
          <w:b/>
          <w:bCs/>
          <w:sz w:val="22"/>
          <w:szCs w:val="22"/>
          <w:lang w:val="es-VE"/>
        </w:rPr>
        <w:t>A. Conceptos Ordinarios</w:t>
      </w:r>
    </w:p>
    <w:p w14:paraId="205B401D" w14:textId="77777777" w:rsidR="003E136F" w:rsidRPr="003E136F" w:rsidRDefault="003E136F" w:rsidP="003E136F">
      <w:pPr>
        <w:jc w:val="both"/>
        <w:rPr>
          <w:sz w:val="22"/>
          <w:szCs w:val="22"/>
          <w:lang w:val="es-VE"/>
        </w:rPr>
      </w:pPr>
      <w:r w:rsidRPr="003E136F">
        <w:rPr>
          <w:sz w:val="22"/>
          <w:szCs w:val="22"/>
          <w:lang w:val="es-VE"/>
        </w:rPr>
        <w:t>Son aquellos pagos acumulados que corresponden al trabajador independientemente del motivo de su salida (renuncia o despido):</w:t>
      </w:r>
    </w:p>
    <w:p w14:paraId="67B74FC1" w14:textId="0261DAB6" w:rsidR="003E136F" w:rsidRDefault="003E136F" w:rsidP="003E136F">
      <w:pPr>
        <w:numPr>
          <w:ilvl w:val="0"/>
          <w:numId w:val="10"/>
        </w:numPr>
        <w:jc w:val="both"/>
        <w:rPr>
          <w:sz w:val="22"/>
          <w:szCs w:val="22"/>
          <w:lang w:val="es-VE"/>
        </w:rPr>
      </w:pPr>
      <w:r w:rsidRPr="003E136F">
        <w:rPr>
          <w:sz w:val="22"/>
          <w:szCs w:val="22"/>
          <w:lang w:val="es-VE"/>
        </w:rPr>
        <w:t>Días de salario pendientes</w:t>
      </w:r>
      <w:r>
        <w:rPr>
          <w:sz w:val="22"/>
          <w:szCs w:val="22"/>
          <w:lang w:val="es-VE"/>
        </w:rPr>
        <w:t xml:space="preserve"> y Cestatickets Socialista</w:t>
      </w:r>
      <w:r w:rsidRPr="003E136F">
        <w:rPr>
          <w:sz w:val="22"/>
          <w:szCs w:val="22"/>
          <w:lang w:val="es-VE"/>
        </w:rPr>
        <w:t>: Días efectivamente laborados en la quincena o mes en curso hasta la fecha efectiva del egreso.</w:t>
      </w:r>
    </w:p>
    <w:p w14:paraId="7E7B9A4B" w14:textId="77777777" w:rsidR="003E136F" w:rsidRPr="003E136F" w:rsidRDefault="003E136F" w:rsidP="003E136F">
      <w:pPr>
        <w:numPr>
          <w:ilvl w:val="0"/>
          <w:numId w:val="10"/>
        </w:numPr>
        <w:jc w:val="both"/>
        <w:rPr>
          <w:sz w:val="22"/>
          <w:szCs w:val="22"/>
          <w:lang w:val="es-VE"/>
        </w:rPr>
      </w:pPr>
      <w:r w:rsidRPr="003E136F">
        <w:rPr>
          <w:sz w:val="22"/>
          <w:szCs w:val="22"/>
          <w:lang w:val="es-VE"/>
        </w:rPr>
        <w:t>Vacaciones Vencidas y Fraccionadas (Art. 192 y 196 LOTTT): Pago de los periodos vacacionales no disfrutados y la porción fraccionada de los meses acumulados del nuevo año de servicio, calculados a salario normal.</w:t>
      </w:r>
    </w:p>
    <w:p w14:paraId="66DB20C3" w14:textId="77777777" w:rsidR="003E136F" w:rsidRPr="003E136F" w:rsidRDefault="003E136F" w:rsidP="003E136F">
      <w:pPr>
        <w:numPr>
          <w:ilvl w:val="0"/>
          <w:numId w:val="10"/>
        </w:numPr>
        <w:jc w:val="both"/>
        <w:rPr>
          <w:sz w:val="22"/>
          <w:szCs w:val="22"/>
          <w:lang w:val="es-VE"/>
        </w:rPr>
      </w:pPr>
      <w:r w:rsidRPr="003E136F">
        <w:rPr>
          <w:sz w:val="22"/>
          <w:szCs w:val="22"/>
          <w:lang w:val="es-VE"/>
        </w:rPr>
        <w:t>Bono Vacacional Vencido y Fraccionado (Art. 192 y 196 LOTTT): El monto legal correspondiente (mínimo 15 días más un día adicional por año de servicio) proporcional a los meses trabajados en el periodo.</w:t>
      </w:r>
    </w:p>
    <w:p w14:paraId="7F84B9DE" w14:textId="77777777" w:rsidR="003E136F" w:rsidRDefault="003E136F" w:rsidP="003E136F">
      <w:pPr>
        <w:numPr>
          <w:ilvl w:val="0"/>
          <w:numId w:val="10"/>
        </w:numPr>
        <w:jc w:val="both"/>
        <w:rPr>
          <w:sz w:val="22"/>
          <w:szCs w:val="22"/>
          <w:lang w:val="es-VE"/>
        </w:rPr>
      </w:pPr>
      <w:r w:rsidRPr="003E136F">
        <w:rPr>
          <w:sz w:val="22"/>
          <w:szCs w:val="22"/>
          <w:lang w:val="es-VE"/>
        </w:rPr>
        <w:lastRenderedPageBreak/>
        <w:t>Utilidades Fraccionadas (Art. 131 y 140 LOTTT): Pago proporcional de los meses del año fiscal en los que el trabajador estuvo activo, calculado con base en los días estipulados por la empresa (respetando el mínimo legal de 30 días).</w:t>
      </w:r>
    </w:p>
    <w:p w14:paraId="719F2442" w14:textId="1BBA3C31" w:rsidR="00D7296C" w:rsidRPr="003E136F" w:rsidRDefault="00D7296C" w:rsidP="003E136F">
      <w:pPr>
        <w:numPr>
          <w:ilvl w:val="0"/>
          <w:numId w:val="10"/>
        </w:numPr>
        <w:jc w:val="both"/>
        <w:rPr>
          <w:sz w:val="22"/>
          <w:szCs w:val="22"/>
          <w:lang w:val="es-VE"/>
        </w:rPr>
      </w:pPr>
      <w:r>
        <w:rPr>
          <w:sz w:val="22"/>
          <w:szCs w:val="22"/>
          <w:lang w:val="es-VE"/>
        </w:rPr>
        <w:t xml:space="preserve">Se cancelarán al trabajador se ser necesario o de estar pendiente para la fecha de su egreso el </w:t>
      </w:r>
      <w:r w:rsidR="007C6D80">
        <w:rPr>
          <w:sz w:val="22"/>
          <w:szCs w:val="22"/>
          <w:lang w:val="es-VE"/>
        </w:rPr>
        <w:t>cálculo</w:t>
      </w:r>
      <w:r>
        <w:rPr>
          <w:sz w:val="22"/>
          <w:szCs w:val="22"/>
          <w:lang w:val="es-VE"/>
        </w:rPr>
        <w:t xml:space="preserve"> comprendido a incidencias de nómina (si los hubiere) como Comisiones, Horas extraordinarias, Bono Nocturno, entre otras.</w:t>
      </w:r>
    </w:p>
    <w:p w14:paraId="21DB8278" w14:textId="77777777" w:rsidR="003E136F" w:rsidRPr="00D7296C" w:rsidRDefault="003E136F" w:rsidP="003E136F">
      <w:pPr>
        <w:jc w:val="both"/>
        <w:rPr>
          <w:b/>
          <w:bCs/>
          <w:sz w:val="22"/>
          <w:szCs w:val="22"/>
          <w:lang w:val="es-VE"/>
        </w:rPr>
      </w:pPr>
      <w:r w:rsidRPr="00D7296C">
        <w:rPr>
          <w:b/>
          <w:bCs/>
          <w:sz w:val="22"/>
          <w:szCs w:val="22"/>
          <w:lang w:val="es-VE"/>
        </w:rPr>
        <w:t>B. Garantía de Prestaciones Sociales (Art. 142 LOTTT)</w:t>
      </w:r>
    </w:p>
    <w:p w14:paraId="7D290324" w14:textId="5FF7ADF4" w:rsidR="003E136F" w:rsidRPr="003E136F" w:rsidRDefault="003E136F" w:rsidP="003E136F">
      <w:pPr>
        <w:jc w:val="both"/>
        <w:rPr>
          <w:sz w:val="22"/>
          <w:szCs w:val="22"/>
          <w:lang w:val="es-VE"/>
        </w:rPr>
      </w:pPr>
      <w:r w:rsidRPr="003E136F">
        <w:rPr>
          <w:sz w:val="22"/>
          <w:szCs w:val="22"/>
          <w:lang w:val="es-VE"/>
        </w:rPr>
        <w:t xml:space="preserve">Se realiza el cálculo bajo las dos metodologías que exige la </w:t>
      </w:r>
      <w:r w:rsidR="00D7296C">
        <w:rPr>
          <w:sz w:val="22"/>
          <w:szCs w:val="22"/>
          <w:lang w:val="es-VE"/>
        </w:rPr>
        <w:t>LOTTT</w:t>
      </w:r>
      <w:r w:rsidRPr="003E136F">
        <w:rPr>
          <w:sz w:val="22"/>
          <w:szCs w:val="22"/>
          <w:lang w:val="es-VE"/>
        </w:rPr>
        <w:t xml:space="preserve"> y pagar la que resulte más favorable para el trabajador:</w:t>
      </w:r>
    </w:p>
    <w:p w14:paraId="296A7C35" w14:textId="4265E742" w:rsidR="003E136F" w:rsidRPr="003E136F" w:rsidRDefault="003E136F" w:rsidP="003E136F">
      <w:pPr>
        <w:numPr>
          <w:ilvl w:val="0"/>
          <w:numId w:val="11"/>
        </w:numPr>
        <w:jc w:val="both"/>
        <w:rPr>
          <w:sz w:val="22"/>
          <w:szCs w:val="22"/>
          <w:lang w:val="es-VE"/>
        </w:rPr>
      </w:pPr>
      <w:r w:rsidRPr="003E136F">
        <w:rPr>
          <w:sz w:val="22"/>
          <w:szCs w:val="22"/>
          <w:lang w:val="es-VE"/>
        </w:rPr>
        <w:t xml:space="preserve">Garantía Trimestral (Literal A y B): Depósito de quince (15) días de salario integral cada trimestre, más dos (2) días adicionales por año a partir del segundo año (acumulativos hasta 30 días). Estos días se calculan con el salario </w:t>
      </w:r>
      <w:r w:rsidR="007C6D80">
        <w:rPr>
          <w:sz w:val="22"/>
          <w:szCs w:val="22"/>
          <w:lang w:val="es-VE"/>
        </w:rPr>
        <w:t>promedio</w:t>
      </w:r>
      <w:r w:rsidR="00D7296C">
        <w:rPr>
          <w:sz w:val="22"/>
          <w:szCs w:val="22"/>
          <w:lang w:val="es-VE"/>
        </w:rPr>
        <w:t xml:space="preserve"> integral </w:t>
      </w:r>
      <w:r w:rsidRPr="003E136F">
        <w:rPr>
          <w:sz w:val="22"/>
          <w:szCs w:val="22"/>
          <w:lang w:val="es-VE"/>
        </w:rPr>
        <w:t>de</w:t>
      </w:r>
      <w:r w:rsidR="00D7296C">
        <w:rPr>
          <w:sz w:val="22"/>
          <w:szCs w:val="22"/>
          <w:lang w:val="es-VE"/>
        </w:rPr>
        <w:t xml:space="preserve"> los últimos 6 meses</w:t>
      </w:r>
      <w:r w:rsidRPr="003E136F">
        <w:rPr>
          <w:sz w:val="22"/>
          <w:szCs w:val="22"/>
          <w:lang w:val="es-VE"/>
        </w:rPr>
        <w:t xml:space="preserve"> </w:t>
      </w:r>
    </w:p>
    <w:p w14:paraId="752BC81B" w14:textId="77777777" w:rsidR="003E136F" w:rsidRPr="003E136F" w:rsidRDefault="003E136F" w:rsidP="003E136F">
      <w:pPr>
        <w:numPr>
          <w:ilvl w:val="0"/>
          <w:numId w:val="11"/>
        </w:numPr>
        <w:jc w:val="both"/>
        <w:rPr>
          <w:sz w:val="22"/>
          <w:szCs w:val="22"/>
          <w:lang w:val="es-VE"/>
        </w:rPr>
      </w:pPr>
      <w:r w:rsidRPr="003E136F">
        <w:rPr>
          <w:sz w:val="22"/>
          <w:szCs w:val="22"/>
          <w:lang w:val="es-VE"/>
        </w:rPr>
        <w:t>Cálculo de Retroactividad (Literal C): Al finalizar la relación laboral, se calculan treinta (30) días de salario integral por cada año de servicio o fracción mayor a seis (6) meses, tomando como base el último salario integral devengado.</w:t>
      </w:r>
    </w:p>
    <w:p w14:paraId="2BA89F42" w14:textId="77777777" w:rsidR="003E136F" w:rsidRDefault="003E136F" w:rsidP="003E136F">
      <w:pPr>
        <w:numPr>
          <w:ilvl w:val="0"/>
          <w:numId w:val="11"/>
        </w:numPr>
        <w:jc w:val="both"/>
        <w:rPr>
          <w:sz w:val="22"/>
          <w:szCs w:val="22"/>
          <w:lang w:val="es-VE"/>
        </w:rPr>
      </w:pPr>
      <w:r w:rsidRPr="003E136F">
        <w:rPr>
          <w:sz w:val="22"/>
          <w:szCs w:val="22"/>
          <w:lang w:val="es-VE"/>
        </w:rPr>
        <w:t>Compensación Definitiva (Literal D): El Analista de Nómina comparará el acumulado histórico de la Garantía Trimestral (con sus respectivos intereses de Fideicomiso o acreditados en contabilidad) contra el cálculo de la Retroactividad. Se pagará al trabajador el monto que resulte mayor.</w:t>
      </w:r>
    </w:p>
    <w:p w14:paraId="24873372" w14:textId="77777777" w:rsidR="00D7296C" w:rsidRPr="00D7296C" w:rsidRDefault="00D7296C" w:rsidP="00D7296C">
      <w:pPr>
        <w:jc w:val="both"/>
        <w:rPr>
          <w:b/>
          <w:bCs/>
          <w:sz w:val="22"/>
          <w:szCs w:val="22"/>
          <w:lang w:val="es-VE"/>
        </w:rPr>
      </w:pPr>
      <w:r w:rsidRPr="00D7296C">
        <w:rPr>
          <w:b/>
          <w:bCs/>
          <w:sz w:val="22"/>
          <w:szCs w:val="22"/>
          <w:lang w:val="es-VE"/>
        </w:rPr>
        <w:t xml:space="preserve">C. Bonificaciones Especiales: </w:t>
      </w:r>
    </w:p>
    <w:p w14:paraId="22E397F6" w14:textId="60118915" w:rsidR="00D7296C" w:rsidRPr="003E136F" w:rsidRDefault="00D7296C" w:rsidP="00D7296C">
      <w:pPr>
        <w:jc w:val="both"/>
        <w:rPr>
          <w:sz w:val="22"/>
          <w:szCs w:val="22"/>
          <w:lang w:val="es-VE"/>
        </w:rPr>
      </w:pPr>
      <w:r>
        <w:rPr>
          <w:sz w:val="22"/>
          <w:szCs w:val="22"/>
          <w:lang w:val="es-VE"/>
        </w:rPr>
        <w:t xml:space="preserve">Se otorga al trabajador 1 mes correspondiente al Bonificación Garantizado por cada año de antigüedad cumplido. </w:t>
      </w:r>
    </w:p>
    <w:p w14:paraId="7EF26CBB" w14:textId="77777777" w:rsidR="003E136F" w:rsidRPr="00D7296C" w:rsidRDefault="003E136F" w:rsidP="003E136F">
      <w:pPr>
        <w:jc w:val="both"/>
        <w:rPr>
          <w:b/>
          <w:bCs/>
          <w:sz w:val="22"/>
          <w:szCs w:val="22"/>
          <w:lang w:val="es-VE"/>
        </w:rPr>
      </w:pPr>
      <w:r w:rsidRPr="00D7296C">
        <w:rPr>
          <w:b/>
          <w:bCs/>
          <w:sz w:val="22"/>
          <w:szCs w:val="22"/>
          <w:lang w:val="es-VE"/>
        </w:rPr>
        <w:t>5. POLÍTICA DE INDEMNIZACIONES POR DESPIDO INJUSTIFICADO O CAUSAS AJENAS (Art. 92 LOTTT)</w:t>
      </w:r>
    </w:p>
    <w:p w14:paraId="35424642" w14:textId="4E606079" w:rsidR="003E136F" w:rsidRPr="003E136F" w:rsidRDefault="003E136F" w:rsidP="003E136F">
      <w:pPr>
        <w:jc w:val="both"/>
        <w:rPr>
          <w:sz w:val="22"/>
          <w:szCs w:val="22"/>
          <w:lang w:val="es-VE"/>
        </w:rPr>
      </w:pPr>
      <w:r w:rsidRPr="003E136F">
        <w:rPr>
          <w:sz w:val="22"/>
          <w:szCs w:val="22"/>
          <w:lang w:val="es-VE"/>
        </w:rPr>
        <w:t xml:space="preserve">En caso de que la terminación de la relación de trabajo sea por despido injustificado, reestructuración, retiro justificado por desmejora (indirecto) o mutuo acuerdo, </w:t>
      </w:r>
      <w:r w:rsidR="00D7296C">
        <w:rPr>
          <w:sz w:val="22"/>
          <w:szCs w:val="22"/>
          <w:lang w:val="es-VE"/>
        </w:rPr>
        <w:t xml:space="preserve">se le asignará el trabajador </w:t>
      </w:r>
      <w:r w:rsidRPr="003E136F">
        <w:rPr>
          <w:sz w:val="22"/>
          <w:szCs w:val="22"/>
          <w:lang w:val="es-VE"/>
        </w:rPr>
        <w:t>una indemnización equivalente al monto que le corresponda por concepto de Prestaciones Sociales ("el doble de las prestaciones").</w:t>
      </w:r>
    </w:p>
    <w:p w14:paraId="4A8E236C" w14:textId="77777777" w:rsidR="003E136F" w:rsidRPr="003E136F" w:rsidRDefault="003E136F" w:rsidP="003E136F">
      <w:pPr>
        <w:numPr>
          <w:ilvl w:val="0"/>
          <w:numId w:val="12"/>
        </w:numPr>
        <w:jc w:val="both"/>
        <w:rPr>
          <w:sz w:val="22"/>
          <w:szCs w:val="22"/>
          <w:lang w:val="es-VE"/>
        </w:rPr>
      </w:pPr>
      <w:r w:rsidRPr="003E136F">
        <w:rPr>
          <w:sz w:val="22"/>
          <w:szCs w:val="22"/>
          <w:lang w:val="es-VE"/>
        </w:rPr>
        <w:t>Monto de la Indemnización: Equivalente al cálculo final resultante del Artículo 142 de la LOTTT (Prestaciones Sociales).</w:t>
      </w:r>
    </w:p>
    <w:p w14:paraId="49F1D115" w14:textId="77777777" w:rsidR="003E136F" w:rsidRPr="003E136F" w:rsidRDefault="003E136F" w:rsidP="003E136F">
      <w:pPr>
        <w:numPr>
          <w:ilvl w:val="0"/>
          <w:numId w:val="12"/>
        </w:numPr>
        <w:jc w:val="both"/>
        <w:rPr>
          <w:sz w:val="22"/>
          <w:szCs w:val="22"/>
          <w:lang w:val="es-VE"/>
        </w:rPr>
      </w:pPr>
      <w:r w:rsidRPr="003E136F">
        <w:rPr>
          <w:sz w:val="22"/>
          <w:szCs w:val="22"/>
          <w:lang w:val="es-VE"/>
        </w:rPr>
        <w:t>Límites de Aplicación: Esta indemnización no aplica en casos de renuncia voluntaria o despido justificado (disciplinario) debidamente calificado por la Inspectoría del Trabajo.</w:t>
      </w:r>
    </w:p>
    <w:p w14:paraId="5CEEED37" w14:textId="77777777" w:rsidR="003E136F" w:rsidRPr="003E136F" w:rsidRDefault="003E136F" w:rsidP="003E136F">
      <w:pPr>
        <w:numPr>
          <w:ilvl w:val="0"/>
          <w:numId w:val="12"/>
        </w:numPr>
        <w:jc w:val="both"/>
        <w:rPr>
          <w:sz w:val="22"/>
          <w:szCs w:val="22"/>
          <w:lang w:val="es-VE"/>
        </w:rPr>
      </w:pPr>
      <w:r w:rsidRPr="003E136F">
        <w:rPr>
          <w:sz w:val="22"/>
          <w:szCs w:val="22"/>
          <w:lang w:val="es-VE"/>
        </w:rPr>
        <w:lastRenderedPageBreak/>
        <w:t>Mutuo Acuerdo Estratégico: Cuando la empresa decida negociar una salida por mutuo acuerdo con un trabajador, se tomará como base financiera este Artículo 92 (Prestaciones + Indemnización) más los derechos adquiridos, pudiendo la Gerencia de RRHH y la Dirección General autorizar "bonificaciones de gratificación extraordinarias" en función de la jerarquía del cargo y para garantizar la firma de la transacción laboral sin litigios futuros.</w:t>
      </w:r>
    </w:p>
    <w:p w14:paraId="550F47F9" w14:textId="77777777" w:rsidR="003E136F" w:rsidRPr="00D7296C" w:rsidRDefault="003E136F" w:rsidP="003E136F">
      <w:pPr>
        <w:jc w:val="both"/>
        <w:rPr>
          <w:b/>
          <w:bCs/>
          <w:sz w:val="22"/>
          <w:szCs w:val="22"/>
          <w:lang w:val="es-VE"/>
        </w:rPr>
      </w:pPr>
      <w:r w:rsidRPr="00D7296C">
        <w:rPr>
          <w:b/>
          <w:bCs/>
          <w:sz w:val="22"/>
          <w:szCs w:val="22"/>
          <w:lang w:val="es-VE"/>
        </w:rPr>
        <w:t>6. GESTIÓN ADMINISTRATIVA Y CRONOGRAMA DE PAGO</w:t>
      </w:r>
    </w:p>
    <w:p w14:paraId="4648F200" w14:textId="77777777" w:rsidR="003E136F" w:rsidRPr="003E136F" w:rsidRDefault="003E136F" w:rsidP="003E136F">
      <w:pPr>
        <w:numPr>
          <w:ilvl w:val="0"/>
          <w:numId w:val="13"/>
        </w:numPr>
        <w:jc w:val="both"/>
        <w:rPr>
          <w:sz w:val="22"/>
          <w:szCs w:val="22"/>
          <w:lang w:val="es-VE"/>
        </w:rPr>
      </w:pPr>
      <w:r w:rsidRPr="003E136F">
        <w:rPr>
          <w:sz w:val="22"/>
          <w:szCs w:val="22"/>
          <w:lang w:val="es-VE"/>
        </w:rPr>
        <w:t>Lapso de Pago (Art. 141 LOTTT): El pago de la liquidación y las indemnizaciones (si aplican) debe efectuarse dentro de los cinco (5) días hábiles siguientes a la terminación de la relación laboral. El retraso en el pago generará intereses de mora a la tasa activa determinada por el Banco Central de Venezuela (BCV).</w:t>
      </w:r>
    </w:p>
    <w:p w14:paraId="7778BBF8" w14:textId="77777777" w:rsidR="003E136F" w:rsidRPr="003E136F" w:rsidRDefault="003E136F" w:rsidP="003E136F">
      <w:pPr>
        <w:numPr>
          <w:ilvl w:val="0"/>
          <w:numId w:val="13"/>
        </w:numPr>
        <w:jc w:val="both"/>
        <w:rPr>
          <w:sz w:val="22"/>
          <w:szCs w:val="22"/>
          <w:lang w:val="es-VE"/>
        </w:rPr>
      </w:pPr>
      <w:r w:rsidRPr="003E136F">
        <w:rPr>
          <w:sz w:val="22"/>
          <w:szCs w:val="22"/>
          <w:lang w:val="es-VE"/>
        </w:rPr>
        <w:t>Soportes Financieros: Tesorería emitirá los fondos únicamente cuando el Coordinador de RRHH presente el expediente auditado con los cálculos de Odoo, la carta de egreso y el estado de cuenta del Fideicomiso Banesco (para deducir los anticipos de prestaciones otorgados previamente si los hubiere).</w:t>
      </w:r>
    </w:p>
    <w:p w14:paraId="6DD00E5B" w14:textId="77777777" w:rsidR="003E136F" w:rsidRPr="003E136F" w:rsidRDefault="003E136F" w:rsidP="003E136F">
      <w:pPr>
        <w:numPr>
          <w:ilvl w:val="0"/>
          <w:numId w:val="13"/>
        </w:numPr>
        <w:jc w:val="both"/>
        <w:rPr>
          <w:sz w:val="22"/>
          <w:szCs w:val="22"/>
          <w:lang w:val="es-VE"/>
        </w:rPr>
      </w:pPr>
      <w:r w:rsidRPr="003E136F">
        <w:rPr>
          <w:sz w:val="22"/>
          <w:szCs w:val="22"/>
          <w:lang w:val="es-VE"/>
        </w:rPr>
        <w:t>Formalización Legal: Toda firma de liquidación que incluya el pago de indemnizaciones por el artículo 92 o transacciones de mutuo acuerdo deberá ser ratificada y homologada ante la Inspectoría del Trabajo de la jurisdicción correspondiente para blindar legalmente a la empresa contra reclamos posteriores.</w:t>
      </w:r>
    </w:p>
    <w:p w14:paraId="06876BC3" w14:textId="12A6F0AC" w:rsidR="00214B00" w:rsidRPr="003E136F" w:rsidRDefault="00214B00" w:rsidP="003E136F">
      <w:pPr>
        <w:jc w:val="both"/>
        <w:rPr>
          <w:sz w:val="22"/>
          <w:szCs w:val="22"/>
          <w:lang w:val="es-VE"/>
        </w:rPr>
      </w:pPr>
    </w:p>
    <w:sectPr w:rsidR="00214B00" w:rsidRPr="003E136F">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10228" w14:textId="77777777" w:rsidR="00C24B58" w:rsidRDefault="00C24B58" w:rsidP="00214B00">
      <w:pPr>
        <w:spacing w:after="0" w:line="240" w:lineRule="auto"/>
      </w:pPr>
      <w:r>
        <w:separator/>
      </w:r>
    </w:p>
  </w:endnote>
  <w:endnote w:type="continuationSeparator" w:id="0">
    <w:p w14:paraId="3DDC5863" w14:textId="77777777" w:rsidR="00C24B58" w:rsidRDefault="00C24B58" w:rsidP="00214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4F43F" w14:textId="77777777" w:rsidR="00C24B58" w:rsidRDefault="00C24B58" w:rsidP="00214B00">
      <w:pPr>
        <w:spacing w:after="0" w:line="240" w:lineRule="auto"/>
      </w:pPr>
      <w:r>
        <w:separator/>
      </w:r>
    </w:p>
  </w:footnote>
  <w:footnote w:type="continuationSeparator" w:id="0">
    <w:p w14:paraId="3043DD9E" w14:textId="77777777" w:rsidR="00C24B58" w:rsidRDefault="00C24B58" w:rsidP="00214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A9677" w14:textId="2F5554BC" w:rsidR="00214B00" w:rsidRDefault="00214B00">
    <w:pPr>
      <w:pStyle w:val="Encabezado"/>
    </w:pPr>
    <w:r>
      <w:rPr>
        <w:noProof/>
      </w:rPr>
      <w:drawing>
        <wp:inline distT="0" distB="0" distL="0" distR="0" wp14:anchorId="77A07228" wp14:editId="65BEBE4E">
          <wp:extent cx="565263" cy="731520"/>
          <wp:effectExtent l="0" t="0" r="0" b="0"/>
          <wp:docPr id="2005895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95521" name="Imagen 2005895521"/>
                  <pic:cNvPicPr/>
                </pic:nvPicPr>
                <pic:blipFill>
                  <a:blip r:embed="rId1">
                    <a:extLst>
                      <a:ext uri="{28A0092B-C50C-407E-A947-70E740481C1C}">
                        <a14:useLocalDpi xmlns:a14="http://schemas.microsoft.com/office/drawing/2010/main" val="0"/>
                      </a:ext>
                    </a:extLst>
                  </a:blip>
                  <a:stretch>
                    <a:fillRect/>
                  </a:stretch>
                </pic:blipFill>
                <pic:spPr>
                  <a:xfrm>
                    <a:off x="0" y="0"/>
                    <a:ext cx="577747" cy="74767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4C8"/>
    <w:multiLevelType w:val="multilevel"/>
    <w:tmpl w:val="39165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C2C1C"/>
    <w:multiLevelType w:val="multilevel"/>
    <w:tmpl w:val="B2FA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746FA"/>
    <w:multiLevelType w:val="multilevel"/>
    <w:tmpl w:val="4D901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E74D02"/>
    <w:multiLevelType w:val="multilevel"/>
    <w:tmpl w:val="0CB2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8443F"/>
    <w:multiLevelType w:val="multilevel"/>
    <w:tmpl w:val="DBF0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D4772"/>
    <w:multiLevelType w:val="multilevel"/>
    <w:tmpl w:val="3A58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63FD0"/>
    <w:multiLevelType w:val="multilevel"/>
    <w:tmpl w:val="7BF87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131178"/>
    <w:multiLevelType w:val="multilevel"/>
    <w:tmpl w:val="A4909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0F0FE9"/>
    <w:multiLevelType w:val="multilevel"/>
    <w:tmpl w:val="1C92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B4642E"/>
    <w:multiLevelType w:val="multilevel"/>
    <w:tmpl w:val="2A4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4E68A3"/>
    <w:multiLevelType w:val="multilevel"/>
    <w:tmpl w:val="0B98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C04FAD"/>
    <w:multiLevelType w:val="multilevel"/>
    <w:tmpl w:val="D190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D91E1E"/>
    <w:multiLevelType w:val="multilevel"/>
    <w:tmpl w:val="13D4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96915">
    <w:abstractNumId w:val="12"/>
  </w:num>
  <w:num w:numId="2" w16cid:durableId="1693726098">
    <w:abstractNumId w:val="1"/>
  </w:num>
  <w:num w:numId="3" w16cid:durableId="362679483">
    <w:abstractNumId w:val="10"/>
  </w:num>
  <w:num w:numId="4" w16cid:durableId="795607761">
    <w:abstractNumId w:val="2"/>
  </w:num>
  <w:num w:numId="5" w16cid:durableId="1271932885">
    <w:abstractNumId w:val="5"/>
  </w:num>
  <w:num w:numId="6" w16cid:durableId="354304814">
    <w:abstractNumId w:val="6"/>
  </w:num>
  <w:num w:numId="7" w16cid:durableId="700126327">
    <w:abstractNumId w:val="11"/>
  </w:num>
  <w:num w:numId="8" w16cid:durableId="1995182328">
    <w:abstractNumId w:val="4"/>
  </w:num>
  <w:num w:numId="9" w16cid:durableId="1392777837">
    <w:abstractNumId w:val="9"/>
  </w:num>
  <w:num w:numId="10" w16cid:durableId="1164197336">
    <w:abstractNumId w:val="0"/>
  </w:num>
  <w:num w:numId="11" w16cid:durableId="267663165">
    <w:abstractNumId w:val="7"/>
  </w:num>
  <w:num w:numId="12" w16cid:durableId="365715403">
    <w:abstractNumId w:val="8"/>
  </w:num>
  <w:num w:numId="13" w16cid:durableId="11965771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B00"/>
    <w:rsid w:val="00214B00"/>
    <w:rsid w:val="003E136F"/>
    <w:rsid w:val="0068332F"/>
    <w:rsid w:val="007C6D80"/>
    <w:rsid w:val="00953F40"/>
    <w:rsid w:val="00AE2B20"/>
    <w:rsid w:val="00C24B58"/>
    <w:rsid w:val="00C5311D"/>
    <w:rsid w:val="00D7296C"/>
    <w:rsid w:val="00E03786"/>
    <w:rsid w:val="00FE3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9741B"/>
  <w15:chartTrackingRefBased/>
  <w15:docId w15:val="{BF2FA882-5CED-409E-8C6A-769BDE39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4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4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4B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4B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4B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4B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4B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4B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4B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4B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4B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4B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4B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4B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4B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4B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4B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4B00"/>
    <w:rPr>
      <w:rFonts w:eastAsiaTheme="majorEastAsia" w:cstheme="majorBidi"/>
      <w:color w:val="272727" w:themeColor="text1" w:themeTint="D8"/>
    </w:rPr>
  </w:style>
  <w:style w:type="paragraph" w:styleId="Ttulo">
    <w:name w:val="Title"/>
    <w:basedOn w:val="Normal"/>
    <w:next w:val="Normal"/>
    <w:link w:val="TtuloCar"/>
    <w:uiPriority w:val="10"/>
    <w:qFormat/>
    <w:rsid w:val="00214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4B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4B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4B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4B00"/>
    <w:pPr>
      <w:spacing w:before="160"/>
      <w:jc w:val="center"/>
    </w:pPr>
    <w:rPr>
      <w:i/>
      <w:iCs/>
      <w:color w:val="404040" w:themeColor="text1" w:themeTint="BF"/>
    </w:rPr>
  </w:style>
  <w:style w:type="character" w:customStyle="1" w:styleId="CitaCar">
    <w:name w:val="Cita Car"/>
    <w:basedOn w:val="Fuentedeprrafopredeter"/>
    <w:link w:val="Cita"/>
    <w:uiPriority w:val="29"/>
    <w:rsid w:val="00214B00"/>
    <w:rPr>
      <w:i/>
      <w:iCs/>
      <w:color w:val="404040" w:themeColor="text1" w:themeTint="BF"/>
    </w:rPr>
  </w:style>
  <w:style w:type="paragraph" w:styleId="Prrafodelista">
    <w:name w:val="List Paragraph"/>
    <w:basedOn w:val="Normal"/>
    <w:uiPriority w:val="34"/>
    <w:qFormat/>
    <w:rsid w:val="00214B00"/>
    <w:pPr>
      <w:ind w:left="720"/>
      <w:contextualSpacing/>
    </w:pPr>
  </w:style>
  <w:style w:type="character" w:styleId="nfasisintenso">
    <w:name w:val="Intense Emphasis"/>
    <w:basedOn w:val="Fuentedeprrafopredeter"/>
    <w:uiPriority w:val="21"/>
    <w:qFormat/>
    <w:rsid w:val="00214B00"/>
    <w:rPr>
      <w:i/>
      <w:iCs/>
      <w:color w:val="0F4761" w:themeColor="accent1" w:themeShade="BF"/>
    </w:rPr>
  </w:style>
  <w:style w:type="paragraph" w:styleId="Citadestacada">
    <w:name w:val="Intense Quote"/>
    <w:basedOn w:val="Normal"/>
    <w:next w:val="Normal"/>
    <w:link w:val="CitadestacadaCar"/>
    <w:uiPriority w:val="30"/>
    <w:qFormat/>
    <w:rsid w:val="00214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4B00"/>
    <w:rPr>
      <w:i/>
      <w:iCs/>
      <w:color w:val="0F4761" w:themeColor="accent1" w:themeShade="BF"/>
    </w:rPr>
  </w:style>
  <w:style w:type="character" w:styleId="Referenciaintensa">
    <w:name w:val="Intense Reference"/>
    <w:basedOn w:val="Fuentedeprrafopredeter"/>
    <w:uiPriority w:val="32"/>
    <w:qFormat/>
    <w:rsid w:val="00214B00"/>
    <w:rPr>
      <w:b/>
      <w:bCs/>
      <w:smallCaps/>
      <w:color w:val="0F4761" w:themeColor="accent1" w:themeShade="BF"/>
      <w:spacing w:val="5"/>
    </w:rPr>
  </w:style>
  <w:style w:type="paragraph" w:styleId="Encabezado">
    <w:name w:val="header"/>
    <w:basedOn w:val="Normal"/>
    <w:link w:val="EncabezadoCar"/>
    <w:uiPriority w:val="99"/>
    <w:unhideWhenUsed/>
    <w:rsid w:val="00214B0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14B00"/>
  </w:style>
  <w:style w:type="paragraph" w:styleId="Piedepgina">
    <w:name w:val="footer"/>
    <w:basedOn w:val="Normal"/>
    <w:link w:val="PiedepginaCar"/>
    <w:uiPriority w:val="99"/>
    <w:unhideWhenUsed/>
    <w:rsid w:val="00214B0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14B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906</Words>
  <Characters>4989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Mayari Cizmania</dc:creator>
  <cp:keywords/>
  <dc:description/>
  <cp:lastModifiedBy>Evelia Manzo</cp:lastModifiedBy>
  <cp:revision>4</cp:revision>
  <dcterms:created xsi:type="dcterms:W3CDTF">2026-06-18T16:52:00Z</dcterms:created>
  <dcterms:modified xsi:type="dcterms:W3CDTF">2026-07-06T18:06:00Z</dcterms:modified>
</cp:coreProperties>
</file>