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Engagement Plan - Project Sentinel</w:t>
      </w:r>
    </w:p>
    <w:p>
      <w:pPr/>
      <w:r>
        <w:t xml:space="preserve">Cyber and Data Protection Assurance Review, FinServe Digital Bank Ltd</w:t>
      </w:r>
    </w:p>
    <w:p>
      <w:pPr/>
      <w:r>
        <w:t xml:space="preserve">Oct 6, 2026</w:t>
      </w:r>
      <w:r>
        <w:t xml:space="preserve"> · Sycom Consulting, Project Sentinel Team</w:t>
      </w:r>
    </w:p>
    <w:p>
      <w:pPr>
        <w:pStyle w:val="Heading2"/>
      </w:pPr>
      <w:r>
        <w:t xml:space="preserve">1. Scope</w:t>
      </w:r>
    </w:p>
    <w:p>
      <w:pPr/>
      <w:r>
        <w:t xml:space="preserve">This review covers the control environment around FinServe's customer-facing technology estate and its data protection posture. It is advisory assurance, not certification. The scope is bounded by what can be meaningfully assessed in four weeks by a small team working from documentation, stakeholder interviews and structured inquiry. The SOC workstream scope is owned and described separately by the security operations team.</w:t>
      </w:r>
    </w:p>
    <w:p>
      <w:pPr>
        <w:pStyle w:val="Heading3"/>
      </w:pPr>
      <w:r>
        <w:t xml:space="preserve">In scope</w:t>
      </w:r>
    </w:p>
    <w:p>
      <w:pPr/>
      <w:r>
        <w:rPr>
          <w:b/>
        </w:rPr>
        <w:t xml:space="preserve">GRC workstream.</w:t>
      </w:r>
      <w:r>
        <w:t xml:space="preserve"> Asset register: systems, data stores and third parties identified from the architecture, mapped to data categories D1 through D7 and to business process owners. Risk register: built from the architecture and process documentation, not from FinServe's existing registers. Supplier register: third parties holding or processing customer data, assessed against UK GDPR processor obligations, PRA outsourcing rules and the existence of data processing agreements. Compliance gap analysis against UK GDPR (including cross-border transfer obligations), PRA and FCA operational resilience requirements, and Money Laundering Regulations retention requirements. Review of the operational resilience self-assessment: coverage, impact tolerance testing, and the exclusion of P8 (settlement and reconciliation) from the important business services list.</w:t>
      </w:r>
    </w:p>
    <w:p>
      <w:pPr>
        <w:pStyle w:val="Heading3"/>
      </w:pPr>
      <w:r>
        <w:t xml:space="preserve">Out of scope</w:t>
      </w:r>
    </w:p>
    <w:p>
      <w:pPr>
        <w:pStyle w:val="ListParagraph"/>
        <w:numPr>
          <w:ilvl w:val="0"/>
          <w:numId w:val="2"/>
        </w:numPr>
      </w:pPr>
      <w:r>
        <w:t xml:space="preserve">Corebridge internal controls (material outsourcing, but we have no access to their environment; our review covers FinServe's contractual and monitoring obligations)</w:t>
      </w:r>
    </w:p>
    <w:p>
      <w:pPr>
        <w:pStyle w:val="ListParagraph"/>
        <w:numPr>
          <w:ilvl w:val="0"/>
          <w:numId w:val="2"/>
        </w:numPr>
      </w:pPr>
      <w:r>
        <w:t xml:space="preserve">PCI DSS compliance (FinServe's SAQ scoping treats card data as held by Corebridge; we accept that position for this review)</w:t>
      </w:r>
    </w:p>
    <w:p>
      <w:pPr>
        <w:pStyle w:val="ListParagraph"/>
        <w:numPr>
          <w:ilvl w:val="0"/>
          <w:numId w:val="2"/>
        </w:numPr>
      </w:pPr>
      <w:r>
        <w:t xml:space="preserve">Consumer Duty assessment (a conduct matter outside the terms of this engagement)</w:t>
      </w:r>
    </w:p>
    <w:p>
      <w:pPr>
        <w:pStyle w:val="ListParagraph"/>
        <w:numPr>
          <w:ilvl w:val="0"/>
          <w:numId w:val="2"/>
        </w:numPr>
      </w:pPr>
      <w:r>
        <w:t xml:space="preserve">The Series D funding round itself and any related commercial due diligence</w:t>
      </w:r>
    </w:p>
    <w:p>
      <w:pPr>
        <w:pStyle w:val="ListParagraph"/>
        <w:numPr>
          <w:ilvl w:val="0"/>
          <w:numId w:val="2"/>
        </w:numPr>
      </w:pPr>
      <w:r>
        <w:t xml:space="preserve">Physical security of HQ, branches or DC-SLO</w:t>
      </w:r>
    </w:p>
    <w:p>
      <w:pPr>
        <w:pStyle w:val="ListParagraph"/>
        <w:numPr>
          <w:ilvl w:val="0"/>
          <w:numId w:val="2"/>
        </w:numPr>
      </w:pPr>
      <w:r>
        <w:t xml:space="preserve">Penetration testing or active exploitation of any system</w:t>
      </w:r>
    </w:p>
    <w:p>
      <w:pPr>
        <w:pStyle w:val="ListParagraph"/>
        <w:numPr>
          <w:ilvl w:val="0"/>
          <w:numId w:val="2"/>
        </w:numPr>
      </w:pPr>
      <w:r>
        <w:t xml:space="preserve">Application-level code review of the AKS microservices</w:t>
      </w:r>
    </w:p>
    <w:p>
      <w:pPr>
        <w:pStyle w:val="Heading2"/>
      </w:pPr>
      <w:r>
        <w:t xml:space="preserve">2. Approach</w:t>
      </w:r>
    </w:p>
    <w:p>
      <w:pPr/>
      <w:r>
        <w:t xml:space="preserve">The review follows four phases. The GRC workstream detail sits within this shared structure; the SOC workstream will describe its own activities under the same phases.</w:t>
      </w:r>
    </w:p>
    <w:p>
      <w:pPr/>
      <w:r>
        <w:rPr>
          <w:b/>
        </w:rPr>
        <w:t xml:space="preserve">Phase 1: Baseline (W1).</w:t>
      </w:r>
      <w:r>
        <w:t xml:space="preserve"> Confirm scope, service priorities, stakeholders and evidence. Jointly map selected services and processes to systems, data, locations, suppliers and telemetry. GRC builds draft asset, risk and supplier registers from the architecture documentation and client profile.</w:t>
      </w:r>
    </w:p>
    <w:p>
      <w:pPr/>
      <w:r>
        <w:rPr>
          <w:b/>
        </w:rPr>
        <w:t xml:space="preserve">Phase 2: Review in parallel (W1 to W2).</w:t>
      </w:r>
      <w:r>
        <w:t xml:space="preserve"> GRC validates governance, risk ownership, data and supplier records. Record evidence, gaps, limitations and confidence; separate confirmed facts from open questions. During W2, conduct 45-minute interviews with the DPO/General Counsel, Head of Compliance, Head of Finance Operations and the Head of Infrastructure (before his departure) to validate assumptions and fill gaps the documents do not answer. Compliance gap analysis against UK GDPR, operational resilience rules and Money Laundering Regulations retention requirements. Where evidence is unavailable or access is limited, record the gap and its impact on assurance confidence.</w:t>
      </w:r>
    </w:p>
    <w:p>
      <w:pPr/>
      <w:r>
        <w:rPr>
          <w:b/>
        </w:rPr>
        <w:t xml:space="preserve">Phase 3: Join findings (W3).</w:t>
      </w:r>
      <w:r>
        <w:t xml:space="preserve"> Compare service and system maps with detection coverage, and material risks and dependencies with response capability. Prioritise jointly by customer, operational, regulatory and financial impact. Escalate urgent concerns promptly to the CISO and mentor.</w:t>
      </w:r>
    </w:p>
    <w:p>
      <w:pPr/>
      <w:r>
        <w:rPr>
          <w:b/>
        </w:rPr>
        <w:t xml:space="preserve">Phase 4: Validate and report (W4).</w:t>
      </w:r>
      <w:r>
        <w:t xml:space="preserve"> Confirm factual accuracy with management. Present prioritised actions, consequences, owners and decisions. Flag potential notification questions for Legal, the DPO and Compliance.</w:t>
      </w:r>
    </w:p>
    <w:p>
      <w:pPr>
        <w:pStyle w:val="Heading3"/>
      </w:pPr>
      <w:r>
        <w:t xml:space="preserve">Joint touchpoints</w:t>
      </w:r>
    </w:p>
    <w:p>
      <w:pPr/>
      <w:r>
        <w:t xml:space="preserve">Three points where the workstreams must compare notes before findings are finalised:</w:t>
      </w:r>
    </w:p>
    <w:p>
      <w:pPr>
        <w:pStyle w:val="ListParagraph"/>
        <w:numPr>
          <w:ilvl w:val="0"/>
          <w:numId w:val="3"/>
        </w:numPr>
      </w:pPr>
      <w:r>
        <w:rPr>
          <w:b/>
        </w:rPr>
        <w:t xml:space="preserve">The settlement process (P8).</w:t>
      </w:r>
      <w:r>
        <w:t xml:space="preserve"> GRC assesses whether its exclusion from the important business services list is defensible. SOC assesses whether the DC-SLO SFTP server and the FinRecon reconciliation path are visible in Sentinel. Both findings feed the same recommendation.</w:t>
      </w:r>
    </w:p>
    <w:p>
      <w:pPr>
        <w:pStyle w:val="ListParagraph"/>
        <w:numPr>
          <w:ilvl w:val="0"/>
          <w:numId w:val="3"/>
        </w:numPr>
      </w:pPr>
      <w:r>
        <w:rPr>
          <w:b/>
        </w:rPr>
        <w:t xml:space="preserve">The UAT data refresh (F10).</w:t>
      </w:r>
      <w:r>
        <w:t xml:space="preserve"> GRC assesses the data protection implications of unmasked National Insurance numbers in the non-production environment. SOC assesses the standing firewall exception (CHG-2024-0881) that permits UAT to reach the production SQL instance, and whether that path is monitored.</w:t>
      </w:r>
    </w:p>
    <w:p>
      <w:pPr>
        <w:pStyle w:val="ListParagraph"/>
        <w:numPr>
          <w:ilvl w:val="0"/>
          <w:numId w:val="3"/>
        </w:numPr>
      </w:pPr>
      <w:r>
        <w:rPr>
          <w:b/>
        </w:rPr>
        <w:t xml:space="preserve">Third-party data flows without adequate controls.</w:t>
      </w:r>
      <w:r>
        <w:t xml:space="preserve"> GRC assesses the contractual and compliance gaps (missing DPAs, missing IDTAs, unsigned retention schedule). SOC assesses whether the technical paths to those third parties (Textway SMS, DC-SLO SFTP to Meridian Trust, FinRecon IMAP basic auth) are logged and monitored.</w:t>
      </w:r>
    </w:p>
    <w:p>
      <w:pPr>
        <w:pStyle w:val="Heading2"/>
      </w:pPr>
      <w:r>
        <w:t xml:space="preserve">3. Assumptions and dependencies</w:t>
      </w:r>
    </w:p>
    <w:p>
      <w:pPr>
        <w:pStyle w:val="Heading3"/>
      </w:pPr>
      <w:r>
        <w:t xml:space="preserve">Assumptions</w:t>
      </w:r>
    </w:p>
    <w:p>
      <w:pPr>
        <w:pStyle w:val="ListParagraph"/>
        <w:numPr>
          <w:ilvl w:val="0"/>
          <w:numId w:val="4"/>
        </w:numPr>
      </w:pPr>
      <w:r>
        <w:t xml:space="preserve">The architecture documentation provided (01-Network-Diagram through 04-Data-Flow) accurately describes the current state of the estate. Where we find discrepancies during the review, we will record them and seek clarification.</w:t>
      </w:r>
    </w:p>
    <w:p>
      <w:pPr>
        <w:pStyle w:val="ListParagraph"/>
        <w:numPr>
          <w:ilvl w:val="0"/>
          <w:numId w:val="4"/>
        </w:numPr>
      </w:pPr>
      <w:r>
        <w:t xml:space="preserve">FinServe's regulatory position (PRA-authorised, dual-regulated, FSCS-covered) is as stated in the Company Profile. We scope our compliance assessment to UK GDPR and the Data Protection Act, PRA and FCA operational resilience and outsourcing rules, FCA systems and controls requirements, Money Laundering Regulations and Payment Services Regulations.</w:t>
      </w:r>
    </w:p>
    <w:p>
      <w:pPr>
        <w:pStyle w:val="ListParagraph"/>
        <w:numPr>
          <w:ilvl w:val="0"/>
          <w:numId w:val="4"/>
        </w:numPr>
      </w:pPr>
      <w:r>
        <w:t xml:space="preserve">The PCI DSS SAQ scoping decision (FinServe does not store PANs; card processing is performed by Corebridge) is accepted. We will not independently validate this.</w:t>
      </w:r>
    </w:p>
    <w:p>
      <w:pPr>
        <w:pStyle w:val="ListParagraph"/>
        <w:numPr>
          <w:ilvl w:val="0"/>
          <w:numId w:val="4"/>
        </w:numPr>
      </w:pPr>
      <w:r>
        <w:t xml:space="preserve">We will not have direct access to Corebridge, IDVerify, Textway or Meridian Trust environments. Our assessment of third-party risk is based on FinServe's contractual documentation, supplier files and architecture.</w:t>
      </w:r>
    </w:p>
    <w:p>
      <w:pPr>
        <w:pStyle w:val="ListParagraph"/>
        <w:numPr>
          <w:ilvl w:val="0"/>
          <w:numId w:val="4"/>
        </w:numPr>
      </w:pPr>
      <w:r>
        <w:t xml:space="preserve">The CISO is our primary point of contact and escalation path. Questions to FinServe go through the programme mentor, who responds in role.</w:t>
      </w:r>
    </w:p>
    <w:p>
      <w:pPr>
        <w:pStyle w:val="ListParagraph"/>
        <w:numPr>
          <w:ilvl w:val="0"/>
          <w:numId w:val="4"/>
        </w:numPr>
      </w:pPr>
      <w:r>
        <w:t xml:space="preserve">All access is read-only. We will not make production changes, run intrusive tests, or access customer data directly. Where evidence is unavailable or access is limited, we will record the gap and its impact on assurance confidence.</w:t>
      </w:r>
    </w:p>
    <w:p>
      <w:pPr>
        <w:pStyle w:val="Heading3"/>
      </w:pPr>
      <w:r>
        <w:t xml:space="preserve">Dependencies on FinServe</w:t>
      </w:r>
    </w:p>
    <w:tbl>
      <w:tblPr>
        <w:tblStyle w:val="TableGrid"/>
        <w:tblW w:w="0" w:type="auto"/>
        <w:tblLayout w:type="fixed"/>
        <w:tblLook w:val="04A0" w:firstRow="1" w:lastRow="0" w:firstColumn="0" w:lastColumn="0" w:noHBand="0" w:noVBand="1"/>
      </w:tblPr>
      <w:tblGrid>
        <w:gridCol w:w="3120"/>
        <w:gridCol w:w="3120"/>
        <w:gridCol w:w="2160"/>
      </w:tblGrid>
      <w:tr>
        <w:trPr>
          <w:tblHeader/>
        </w:trPr>
        <w:tc>
          <w:tcPr>
            <w:tcW w:w="3120" w:type="dxa"/>
            <w:shd w:val="clear" w:color="auto" w:fill="F2F2F2"/>
          </w:tcPr>
          <w:p>
            <w:pPr/>
            <w:r>
              <w:t xml:space="preserve">What we need</w:t>
            </w:r>
          </w:p>
        </w:tc>
        <w:tc>
          <w:tcPr>
            <w:tcW w:w="3120" w:type="dxa"/>
            <w:shd w:val="clear" w:color="auto" w:fill="F2F2F2"/>
          </w:tcPr>
          <w:p>
            <w:pPr/>
            <w:r>
              <w:t xml:space="preserve">From whom</w:t>
            </w:r>
          </w:p>
        </w:tc>
        <w:tc>
          <w:tcPr>
            <w:tcW w:w="2160" w:type="dxa"/>
            <w:shd w:val="clear" w:color="auto" w:fill="F2F2F2"/>
          </w:tcPr>
          <w:p>
            <w:pPr/>
            <w:r>
              <w:t xml:space="preserve">By when</w:t>
            </w:r>
          </w:p>
        </w:tc>
      </w:tr>
      <w:tr>
        <w:tc>
          <w:tcPr>
            <w:tcW w:w="3120" w:type="dxa"/>
          </w:tcPr>
          <w:p>
            <w:pPr/>
            <w:r>
              <w:t xml:space="preserve">Read access to the Microsoft Sentinel workspace (law-sentinel-prod) including analytics rules, incidents and connector status</w:t>
            </w:r>
          </w:p>
        </w:tc>
        <w:tc>
          <w:tcPr>
            <w:tcW w:w="3120" w:type="dxa"/>
          </w:tcPr>
          <w:p>
            <w:pPr/>
            <w:r>
              <w:t xml:space="preserve">Head of Infrastructure / Cloud Platform Lead</w:t>
            </w:r>
          </w:p>
        </w:tc>
        <w:tc>
          <w:tcPr>
            <w:tcW w:w="2160" w:type="dxa"/>
          </w:tcPr>
          <w:p>
            <w:pPr/>
            <w:r>
              <w:t xml:space="preserve">Wednesday W1 D3</w:t>
            </w:r>
          </w:p>
        </w:tc>
      </w:tr>
      <w:tr>
        <w:tc>
          <w:tcPr>
            <w:tcW w:w="3120" w:type="dxa"/>
          </w:tcPr>
          <w:p>
            <w:pPr/>
            <w:r>
              <w:t xml:space="preserve">Read access to the Azure Firewall rule set and the two standing exceptions (CHG-2024-0881, CHG-2025-0132)</w:t>
            </w:r>
          </w:p>
        </w:tc>
        <w:tc>
          <w:tcPr>
            <w:tcW w:w="3120" w:type="dxa"/>
          </w:tcPr>
          <w:p>
            <w:pPr/>
            <w:r>
              <w:t xml:space="preserve">Cloud Platform Lead</w:t>
            </w:r>
          </w:p>
        </w:tc>
        <w:tc>
          <w:tcPr>
            <w:tcW w:w="2160" w:type="dxa"/>
          </w:tcPr>
          <w:p>
            <w:pPr/>
            <w:r>
              <w:t xml:space="preserve">Wednesday W1 D3</w:t>
            </w:r>
          </w:p>
        </w:tc>
      </w:tr>
      <w:tr>
        <w:tc>
          <w:tcPr>
            <w:tcW w:w="3120" w:type="dxa"/>
          </w:tcPr>
          <w:p>
            <w:pPr/>
            <w:r>
              <w:t xml:space="preserve">FinServe's existing asset register, risk register and supplier register (as-is, understood to be incomplete)</w:t>
            </w:r>
          </w:p>
        </w:tc>
        <w:tc>
          <w:tcPr>
            <w:tcW w:w="3120" w:type="dxa"/>
          </w:tcPr>
          <w:p>
            <w:pPr/>
            <w:r>
              <w:t xml:space="preserve">CISO</w:t>
            </w:r>
          </w:p>
        </w:tc>
        <w:tc>
          <w:tcPr>
            <w:tcW w:w="2160" w:type="dxa"/>
          </w:tcPr>
          <w:p>
            <w:pPr/>
            <w:r>
              <w:t xml:space="preserve">Thursday W1 D4</w:t>
            </w:r>
          </w:p>
        </w:tc>
      </w:tr>
      <w:tr>
        <w:tc>
          <w:tcPr>
            <w:tcW w:w="3120" w:type="dxa"/>
          </w:tcPr>
          <w:p>
            <w:pPr/>
            <w:r>
              <w:t xml:space="preserve">The operational resilience self-assessment approved by the board in March 2025</w:t>
            </w:r>
          </w:p>
        </w:tc>
        <w:tc>
          <w:tcPr>
            <w:tcW w:w="3120" w:type="dxa"/>
          </w:tcPr>
          <w:p>
            <w:pPr/>
            <w:r>
              <w:t xml:space="preserve">COO / interim CRO</w:t>
            </w:r>
          </w:p>
        </w:tc>
        <w:tc>
          <w:tcPr>
            <w:tcW w:w="2160" w:type="dxa"/>
          </w:tcPr>
          <w:p>
            <w:pPr/>
            <w:r>
              <w:t xml:space="preserve">Thursday W1 D4</w:t>
            </w:r>
          </w:p>
        </w:tc>
      </w:tr>
      <w:tr>
        <w:tc>
          <w:tcPr>
            <w:tcW w:w="3120" w:type="dxa"/>
          </w:tcPr>
          <w:p>
            <w:pPr/>
            <w:r>
              <w:t xml:space="preserve">The 2024 IT audit report produced by the co-source partner</w:t>
            </w:r>
          </w:p>
        </w:tc>
        <w:tc>
          <w:tcPr>
            <w:tcW w:w="3120" w:type="dxa"/>
          </w:tcPr>
          <w:p>
            <w:pPr/>
            <w:r>
              <w:t xml:space="preserve">Head of Internal Audit</w:t>
            </w:r>
          </w:p>
        </w:tc>
        <w:tc>
          <w:tcPr>
            <w:tcW w:w="2160" w:type="dxa"/>
          </w:tcPr>
          <w:p>
            <w:pPr/>
            <w:r>
              <w:t xml:space="preserve">Friday W1 D5</w:t>
            </w:r>
          </w:p>
        </w:tc>
      </w:tr>
      <w:tr>
        <w:tc>
          <w:tcPr>
            <w:tcW w:w="3120" w:type="dxa"/>
          </w:tcPr>
          <w:p>
            <w:pPr/>
            <w:r>
              <w:t xml:space="preserve">Copy of the data retention schedule drafted by the compliance team in 2024 (unsigned)</w:t>
            </w:r>
          </w:p>
        </w:tc>
        <w:tc>
          <w:tcPr>
            <w:tcW w:w="3120" w:type="dxa"/>
          </w:tcPr>
          <w:p>
            <w:pPr/>
            <w:r>
              <w:t xml:space="preserve">Head of Compliance / DPO</w:t>
            </w:r>
          </w:p>
        </w:tc>
        <w:tc>
          <w:tcPr>
            <w:tcW w:w="2160" w:type="dxa"/>
          </w:tcPr>
          <w:p>
            <w:pPr/>
            <w:r>
              <w:t xml:space="preserve">Friday W1 D5</w:t>
            </w:r>
          </w:p>
        </w:tc>
      </w:tr>
      <w:tr>
        <w:tc>
          <w:tcPr>
            <w:tcW w:w="3120" w:type="dxa"/>
          </w:tcPr>
          <w:p>
            <w:pPr/>
            <w:r>
              <w:t xml:space="preserve">The Textway supplier file, including any risk assessment or due diligence performed</w:t>
            </w:r>
          </w:p>
        </w:tc>
        <w:tc>
          <w:tcPr>
            <w:tcW w:w="3120" w:type="dxa"/>
          </w:tcPr>
          <w:p>
            <w:pPr/>
            <w:r>
              <w:t xml:space="preserve">Head of Compliance</w:t>
            </w:r>
          </w:p>
        </w:tc>
        <w:tc>
          <w:tcPr>
            <w:tcW w:w="2160" w:type="dxa"/>
          </w:tcPr>
          <w:p>
            <w:pPr/>
            <w:r>
              <w:t xml:space="preserve">End of W1</w:t>
            </w:r>
          </w:p>
        </w:tc>
      </w:tr>
      <w:tr>
        <w:tc>
          <w:tcPr>
            <w:tcW w:w="3120" w:type="dxa"/>
          </w:tcPr>
          <w:p>
            <w:pPr/>
            <w:r>
              <w:t xml:space="preserve">The Meridian Trust interbank agreement (2019) and the Solvex Systems licence agreement (2023)</w:t>
            </w:r>
          </w:p>
        </w:tc>
        <w:tc>
          <w:tcPr>
            <w:tcW w:w="3120" w:type="dxa"/>
          </w:tcPr>
          <w:p>
            <w:pPr/>
            <w:r>
              <w:t xml:space="preserve">General Counsel</w:t>
            </w:r>
          </w:p>
        </w:tc>
        <w:tc>
          <w:tcPr>
            <w:tcW w:w="2160" w:type="dxa"/>
          </w:tcPr>
          <w:p>
            <w:pPr/>
            <w:r>
              <w:t xml:space="preserve">End of W1</w:t>
            </w:r>
          </w:p>
        </w:tc>
      </w:tr>
      <w:tr>
        <w:tc>
          <w:tcPr>
            <w:tcW w:w="3120" w:type="dxa"/>
          </w:tcPr>
          <w:p>
            <w:pPr/>
            <w:r>
              <w:t xml:space="preserve">Conditional Access policy export and Entra ID role assignment export</w:t>
            </w:r>
          </w:p>
        </w:tc>
        <w:tc>
          <w:tcPr>
            <w:tcW w:w="3120" w:type="dxa"/>
          </w:tcPr>
          <w:p>
            <w:pPr/>
            <w:r>
              <w:t xml:space="preserve">Head of Digital Workplace</w:t>
            </w:r>
          </w:p>
        </w:tc>
        <w:tc>
          <w:tcPr>
            <w:tcW w:w="2160" w:type="dxa"/>
          </w:tcPr>
          <w:p>
            <w:pPr/>
            <w:r>
              <w:t xml:space="preserve">Wednesday W1 D3</w:t>
            </w:r>
          </w:p>
        </w:tc>
      </w:tr>
      <w:tr>
        <w:tc>
          <w:tcPr>
            <w:tcW w:w="3120" w:type="dxa"/>
          </w:tcPr>
          <w:p>
            <w:pPr/>
            <w:r>
              <w:t xml:space="preserve">30-minute interview with Tobi Okonkwo (Head of Infrastructure) before his departure, covering DC-SLO operations and the settlement process</w:t>
            </w:r>
          </w:p>
        </w:tc>
        <w:tc>
          <w:tcPr>
            <w:tcW w:w="3120" w:type="dxa"/>
          </w:tcPr>
          <w:p>
            <w:pPr/>
            <w:r>
              <w:t xml:space="preserve">CISO to arrange</w:t>
            </w:r>
          </w:p>
        </w:tc>
        <w:tc>
          <w:tcPr>
            <w:tcW w:w="2160" w:type="dxa"/>
          </w:tcPr>
          <w:p>
            <w:pPr/>
            <w:r>
              <w:t xml:space="preserve">Before end of W2</w:t>
            </w:r>
          </w:p>
        </w:tc>
      </w:tr>
    </w:tbl>
    <w:p>
      <w:pPr>
        <w:pStyle w:val="Heading2"/>
      </w:pPr>
      <w:r>
        <w:t xml:space="preserve">4. Questions for FinServe</w:t>
      </w:r>
    </w:p>
    <w:p>
      <w:pPr/>
      <w:r>
        <w:t xml:space="preserve">The following questions are not answered by the material provided. We request responses through the mentor by end of W1.</w:t>
      </w:r>
    </w:p>
    <w:p>
      <w:pPr>
        <w:pStyle w:val="ListParagraph"/>
        <w:numPr>
          <w:ilvl w:val="0"/>
          <w:numId w:val="5"/>
        </w:numPr>
      </w:pPr>
      <w:r>
        <w:rPr>
          <w:b/>
        </w:rPr>
        <w:t xml:space="preserve">Textway SMS fallback.</w:t>
      </w:r>
      <w:r>
        <w:t xml:space="preserve"> The payments process (P2) depends entirely on Textway for SCA one-time passcodes, with no configured fallback. Has a fallback path been evaluated, and if so, why was it not implemented?</w:t>
      </w:r>
    </w:p>
    <w:p>
      <w:pPr>
        <w:pStyle w:val="ListParagraph"/>
        <w:numPr>
          <w:ilvl w:val="0"/>
          <w:numId w:val="5"/>
        </w:numPr>
      </w:pPr>
      <w:r>
        <w:rPr>
          <w:b/>
        </w:rPr>
        <w:t xml:space="preserve">Tobi Okonkwo departure.</w:t>
      </w:r>
      <w:r>
        <w:t xml:space="preserve"> The Head of Infrastructure is named as the key-person dependency for the DC-SLO estate (risk R-11) and leaves in eight weeks. Is there a knowledge transfer plan, and has a successor been identified?</w:t>
      </w:r>
    </w:p>
    <w:p>
      <w:pPr>
        <w:pStyle w:val="ListParagraph"/>
        <w:numPr>
          <w:ilvl w:val="0"/>
          <w:numId w:val="5"/>
        </w:numPr>
      </w:pPr>
      <w:r>
        <w:rPr>
          <w:b/>
        </w:rPr>
        <w:t xml:space="preserve">BYOD compliance policy.</w:t>
      </w:r>
      <w:r>
        <w:t xml:space="preserve"> The device compliance policy for BYOD was deployed in report-only mode in February 2025. What did the impact assessment show, and is there a planned enforcement date?</w:t>
      </w:r>
    </w:p>
    <w:p>
      <w:pPr>
        <w:pStyle w:val="ListParagraph"/>
        <w:numPr>
          <w:ilvl w:val="0"/>
          <w:numId w:val="5"/>
        </w:numPr>
      </w:pPr>
      <w:r>
        <w:rPr>
          <w:b/>
        </w:rPr>
        <w:t xml:space="preserve">DMARC enforcement.</w:t>
      </w:r>
      <w:r>
        <w:t xml:space="preserve"> The DMARC policy for finserve.example is set to p=none. Is there a plan to move to p=quarantine or p=reject, and what is blocking it?</w:t>
      </w:r>
    </w:p>
    <w:p>
      <w:pPr>
        <w:pStyle w:val="ListParagraph"/>
        <w:numPr>
          <w:ilvl w:val="0"/>
          <w:numId w:val="5"/>
        </w:numPr>
      </w:pPr>
      <w:r>
        <w:rPr>
          <w:b/>
        </w:rPr>
        <w:t xml:space="preserve">Solvex Systems.</w:t>
      </w:r>
      <w:r>
        <w:t xml:space="preserve"> FinRecon's vendor (Solvex Systems) does not appear on the supplier register and provides support from Bengaluru with no IDTA in place. Is this a known omission, and has it been raised with the DPO?</w:t>
      </w:r>
    </w:p>
    <w:p>
      <w:pPr>
        <w:pStyle w:val="ListParagraph"/>
        <w:numPr>
          <w:ilvl w:val="0"/>
          <w:numId w:val="5"/>
        </w:numPr>
      </w:pPr>
      <w:r>
        <w:rPr>
          <w:b/>
        </w:rPr>
        <w:t xml:space="preserve">Standing privileged access.</w:t>
      </w:r>
      <w:r>
        <w:t xml:space="preserve"> Internal audit finding IA-2024-07 on standing privileged access remains open. What is the current remediation plan and target date?</w:t>
      </w:r>
    </w:p>
    <w:p>
      <w:pPr>
        <w:pStyle w:val="ListParagraph"/>
        <w:numPr>
          <w:ilvl w:val="0"/>
          <w:numId w:val="5"/>
        </w:numPr>
      </w:pPr>
      <w:r>
        <w:rPr>
          <w:b/>
        </w:rPr>
        <w:t xml:space="preserve">Security engineer role.</w:t>
      </w:r>
      <w:r>
        <w:t xml:space="preserve"> A fourth security team member (security engineer) was approved in the FY2026 budget but the requisition has not been opened. What is the reason, and is there a planned opening date?</w:t>
      </w:r>
    </w:p>
    <w:p>
      <w:pPr>
        <w:pStyle w:val="Heading2"/>
      </w:pPr>
      <w:r>
        <w:t xml:space="preserve">5. Deliverables and dates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Deliverable</w:t>
            </w:r>
          </w:p>
        </w:tc>
        <w:tc>
          <w:tcPr>
            <w:tcW w:w="3120" w:type="dxa"/>
            <w:shd w:val="clear" w:color="auto" w:fill="F2F2F2"/>
          </w:tcPr>
          <w:p>
            <w:pPr/>
            <w:r>
              <w:t xml:space="preserve">Owner</w:t>
            </w:r>
          </w:p>
        </w:tc>
        <w:tc>
          <w:tcPr>
            <w:tcW w:w="3120" w:type="dxa"/>
            <w:shd w:val="clear" w:color="auto" w:fill="F2F2F2"/>
          </w:tcPr>
          <w:p>
            <w:pPr/>
            <w:r>
              <w:t xml:space="preserve">Due</w:t>
            </w:r>
          </w:p>
        </w:tc>
      </w:tr>
      <w:tr>
        <w:tc>
          <w:tcPr>
            <w:tcW w:w="3120" w:type="dxa"/>
          </w:tcPr>
          <w:p>
            <w:pPr/>
            <w:r>
              <w:t xml:space="preserve">Engagement plan (this document)</w:t>
            </w:r>
          </w:p>
        </w:tc>
        <w:tc>
          <w:tcPr>
            <w:tcW w:w="3120" w:type="dxa"/>
          </w:tcPr>
          <w:p>
            <w:pPr/>
            <w:r>
              <w:t xml:space="preserve">Joint</w:t>
            </w:r>
          </w:p>
        </w:tc>
        <w:tc>
          <w:tcPr>
            <w:tcW w:w="3120" w:type="dxa"/>
          </w:tcPr>
          <w:p>
            <w:pPr/>
            <w:r>
              <w:t xml:space="preserve">Tuesday W1 D2</w:t>
            </w:r>
          </w:p>
        </w:tc>
      </w:tr>
      <w:tr>
        <w:tc>
          <w:tcPr>
            <w:tcW w:w="3120" w:type="dxa"/>
          </w:tcPr>
          <w:p>
            <w:pPr/>
            <w:r>
              <w:t xml:space="preserve">Asset register (draft)</w:t>
            </w:r>
          </w:p>
        </w:tc>
        <w:tc>
          <w:tcPr>
            <w:tcW w:w="3120" w:type="dxa"/>
          </w:tcPr>
          <w:p>
            <w:pPr/>
            <w:r>
              <w:t xml:space="preserve">GRC</w:t>
            </w:r>
          </w:p>
        </w:tc>
        <w:tc>
          <w:tcPr>
            <w:tcW w:w="3120" w:type="dxa"/>
          </w:tcPr>
          <w:p>
            <w:pPr/>
            <w:r>
              <w:t xml:space="preserve">Friday W1 D5</w:t>
            </w:r>
          </w:p>
        </w:tc>
      </w:tr>
      <w:tr>
        <w:tc>
          <w:tcPr>
            <w:tcW w:w="3120" w:type="dxa"/>
          </w:tcPr>
          <w:p>
            <w:pPr/>
            <w:r>
              <w:t xml:space="preserve">Risk register (draft)</w:t>
            </w:r>
          </w:p>
        </w:tc>
        <w:tc>
          <w:tcPr>
            <w:tcW w:w="3120" w:type="dxa"/>
          </w:tcPr>
          <w:p>
            <w:pPr/>
            <w:r>
              <w:t xml:space="preserve">GRC</w:t>
            </w:r>
          </w:p>
        </w:tc>
        <w:tc>
          <w:tcPr>
            <w:tcW w:w="3120" w:type="dxa"/>
          </w:tcPr>
          <w:p>
            <w:pPr/>
            <w:r>
              <w:t xml:space="preserve">Friday W2 D5</w:t>
            </w:r>
          </w:p>
        </w:tc>
      </w:tr>
      <w:tr>
        <w:tc>
          <w:tcPr>
            <w:tcW w:w="3120" w:type="dxa"/>
          </w:tcPr>
          <w:p>
            <w:pPr/>
            <w:r>
              <w:t xml:space="preserve">Supplier register (draft)</w:t>
            </w:r>
          </w:p>
        </w:tc>
        <w:tc>
          <w:tcPr>
            <w:tcW w:w="3120" w:type="dxa"/>
          </w:tcPr>
          <w:p>
            <w:pPr/>
            <w:r>
              <w:t xml:space="preserve">GRC</w:t>
            </w:r>
          </w:p>
        </w:tc>
        <w:tc>
          <w:tcPr>
            <w:tcW w:w="3120" w:type="dxa"/>
          </w:tcPr>
          <w:p>
            <w:pPr/>
            <w:r>
              <w:t xml:space="preserve">Friday W2 D5</w:t>
            </w:r>
          </w:p>
        </w:tc>
      </w:tr>
      <w:tr>
        <w:tc>
          <w:tcPr>
            <w:tcW w:w="3120" w:type="dxa"/>
          </w:tcPr>
          <w:p>
            <w:pPr/>
            <w:r>
              <w:t xml:space="preserve">Compliance gap analysis (draft)</w:t>
            </w:r>
          </w:p>
        </w:tc>
        <w:tc>
          <w:tcPr>
            <w:tcW w:w="3120" w:type="dxa"/>
          </w:tcPr>
          <w:p>
            <w:pPr/>
            <w:r>
              <w:t xml:space="preserve">GRC</w:t>
            </w:r>
          </w:p>
        </w:tc>
        <w:tc>
          <w:tcPr>
            <w:tcW w:w="3120" w:type="dxa"/>
          </w:tcPr>
          <w:p>
            <w:pPr/>
            <w:r>
              <w:t xml:space="preserve">Friday W2 D5</w:t>
            </w:r>
          </w:p>
        </w:tc>
      </w:tr>
      <w:tr>
        <w:tc>
          <w:tcPr>
            <w:tcW w:w="3120" w:type="dxa"/>
          </w:tcPr>
          <w:p>
            <w:pPr/>
            <w:r>
              <w:t xml:space="preserve">Joint review checkpoint: align findings across workstreams</w:t>
            </w:r>
          </w:p>
        </w:tc>
        <w:tc>
          <w:tcPr>
            <w:tcW w:w="3120" w:type="dxa"/>
          </w:tcPr>
          <w:p>
            <w:pPr/>
            <w:r>
              <w:t xml:space="preserve">Joint</w:t>
            </w:r>
          </w:p>
        </w:tc>
        <w:tc>
          <w:tcPr>
            <w:tcW w:w="3120" w:type="dxa"/>
          </w:tcPr>
          <w:p>
            <w:pPr/>
            <w:r>
              <w:t xml:space="preserve">Monday W3 D1</w:t>
            </w:r>
          </w:p>
        </w:tc>
      </w:tr>
      <w:tr>
        <w:tc>
          <w:tcPr>
            <w:tcW w:w="3120" w:type="dxa"/>
          </w:tcPr>
          <w:p>
            <w:pPr/>
            <w:r>
              <w:t xml:space="preserve">Combined findings report (internal draft)</w:t>
            </w:r>
          </w:p>
        </w:tc>
        <w:tc>
          <w:tcPr>
            <w:tcW w:w="3120" w:type="dxa"/>
          </w:tcPr>
          <w:p>
            <w:pPr/>
            <w:r>
              <w:t xml:space="preserve">Joint</w:t>
            </w:r>
          </w:p>
        </w:tc>
        <w:tc>
          <w:tcPr>
            <w:tcW w:w="3120" w:type="dxa"/>
          </w:tcPr>
          <w:p>
            <w:pPr/>
            <w:r>
              <w:t xml:space="preserve">Wednesday W3 D3</w:t>
            </w:r>
          </w:p>
        </w:tc>
      </w:tr>
      <w:tr>
        <w:tc>
          <w:tcPr>
            <w:tcW w:w="3120" w:type="dxa"/>
          </w:tcPr>
          <w:p>
            <w:pPr/>
            <w:r>
              <w:t xml:space="preserve">Board pack (final) submitted to CISO</w:t>
            </w:r>
          </w:p>
        </w:tc>
        <w:tc>
          <w:tcPr>
            <w:tcW w:w="3120" w:type="dxa"/>
          </w:tcPr>
          <w:p>
            <w:pPr/>
            <w:r>
              <w:t xml:space="preserve">Joint</w:t>
            </w:r>
          </w:p>
        </w:tc>
        <w:tc>
          <w:tcPr>
            <w:tcW w:w="3120" w:type="dxa"/>
          </w:tcPr>
          <w:p>
            <w:pPr/>
            <w:r>
              <w:t xml:space="preserve">Wednesday W4 D1</w:t>
            </w:r>
          </w:p>
        </w:tc>
      </w:tr>
      <w:tr>
        <w:tc>
          <w:tcPr>
            <w:tcW w:w="3120" w:type="dxa"/>
          </w:tcPr>
          <w:p>
            <w:pPr/>
            <w:r>
              <w:t xml:space="preserve">CISO review window</w:t>
            </w:r>
          </w:p>
        </w:tc>
        <w:tc>
          <w:tcPr>
            <w:tcW w:w="3120" w:type="dxa"/>
          </w:tcPr>
          <w:p>
            <w:pPr/>
            <w:r>
              <w:t xml:space="preserve">CISO</w:t>
            </w:r>
          </w:p>
        </w:tc>
        <w:tc>
          <w:tcPr>
            <w:tcW w:w="3120" w:type="dxa"/>
          </w:tcPr>
          <w:p>
            <w:pPr/>
            <w:r>
              <w:t xml:space="preserve">W4 D1 to W4 D3 09:00</w:t>
            </w:r>
          </w:p>
        </w:tc>
      </w:tr>
      <w:tr>
        <w:tc>
          <w:tcPr>
            <w:tcW w:w="3120" w:type="dxa"/>
          </w:tcPr>
          <w:p>
            <w:pPr/>
            <w:r>
              <w:t xml:space="preserve">Board presentation</w:t>
            </w:r>
          </w:p>
        </w:tc>
        <w:tc>
          <w:tcPr>
            <w:tcW w:w="3120" w:type="dxa"/>
          </w:tcPr>
          <w:p>
            <w:pPr/>
            <w:r>
              <w:t xml:space="preserve">Joint</w:t>
            </w:r>
          </w:p>
        </w:tc>
        <w:tc>
          <w:tcPr>
            <w:tcW w:w="3120" w:type="dxa"/>
          </w:tcPr>
          <w:p>
            <w:pPr/>
            <w:r>
              <w:t xml:space="preserve">W4 D3</w:t>
            </w:r>
          </w:p>
        </w:tc>
      </w:tr>
    </w:tbl>
    <w:p>
      <w:pPr/>
      <w:r>
        <w:t xml:space="preserve">Any finding assessed as urgent (requiring immediate action or regulatory notification) will be escalated to the CISO in writing as soon as it is identified, not held for the board pack.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Engagement Plan - Project Sentinel</dc:title>
  <dc:description>Claude Docs node/6a453b64-1110@18 docx-w6</dc:description>
  <cp:revision>18</cp:revision>
</cp:coreProperties>
</file>