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87A" w:rsidRPr="00FA58EE" w:rsidRDefault="0055687A" w:rsidP="0055687A">
      <w:pPr>
        <w:rPr>
          <w:b/>
        </w:rPr>
      </w:pPr>
      <w:r w:rsidRPr="00FA58EE">
        <w:rPr>
          <w:b/>
        </w:rPr>
        <w:t xml:space="preserve">GRADE 11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1268"/>
        <w:gridCol w:w="2203"/>
        <w:gridCol w:w="1820"/>
        <w:gridCol w:w="2114"/>
        <w:gridCol w:w="2972"/>
      </w:tblGrid>
      <w:tr w:rsidR="0055687A" w:rsidRPr="00792635" w:rsidTr="00A93ADF">
        <w:trPr>
          <w:cantSplit/>
          <w:trHeight w:val="300"/>
          <w:tblHeader/>
        </w:trPr>
        <w:tc>
          <w:tcPr>
            <w:tcW w:w="548" w:type="pct"/>
            <w:shd w:val="clear" w:color="auto" w:fill="auto"/>
            <w:vAlign w:val="center"/>
            <w:hideMark/>
          </w:tcPr>
          <w:p w:rsidR="0055687A" w:rsidRPr="00240232" w:rsidRDefault="0055687A" w:rsidP="00A93ADF">
            <w:pPr>
              <w:rPr>
                <w:b/>
                <w:bCs/>
                <w:color w:val="000000"/>
                <w:sz w:val="20"/>
                <w:szCs w:val="20"/>
              </w:rPr>
            </w:pPr>
            <w:r w:rsidRPr="00240232">
              <w:rPr>
                <w:b/>
                <w:bCs/>
                <w:color w:val="000000"/>
                <w:sz w:val="20"/>
                <w:szCs w:val="20"/>
              </w:rPr>
              <w:t>Area</w:t>
            </w:r>
          </w:p>
        </w:tc>
        <w:tc>
          <w:tcPr>
            <w:tcW w:w="544" w:type="pct"/>
            <w:shd w:val="clear" w:color="auto" w:fill="auto"/>
            <w:vAlign w:val="center"/>
            <w:hideMark/>
          </w:tcPr>
          <w:p w:rsidR="0055687A" w:rsidRPr="00240232" w:rsidRDefault="0055687A" w:rsidP="00A93ADF">
            <w:pPr>
              <w:rPr>
                <w:b/>
                <w:bCs/>
                <w:color w:val="000000"/>
                <w:sz w:val="20"/>
                <w:szCs w:val="20"/>
              </w:rPr>
            </w:pPr>
            <w:r w:rsidRPr="00240232">
              <w:rPr>
                <w:b/>
                <w:bCs/>
                <w:color w:val="000000"/>
                <w:sz w:val="20"/>
                <w:szCs w:val="20"/>
              </w:rPr>
              <w:t xml:space="preserve">Cluster </w:t>
            </w:r>
          </w:p>
        </w:tc>
        <w:tc>
          <w:tcPr>
            <w:tcW w:w="945" w:type="pct"/>
            <w:shd w:val="clear" w:color="auto" w:fill="auto"/>
            <w:vAlign w:val="center"/>
            <w:hideMark/>
          </w:tcPr>
          <w:p w:rsidR="0055687A" w:rsidRPr="00240232" w:rsidRDefault="0055687A" w:rsidP="00A93ADF">
            <w:pPr>
              <w:rPr>
                <w:b/>
                <w:bCs/>
                <w:color w:val="000000"/>
                <w:sz w:val="20"/>
                <w:szCs w:val="20"/>
              </w:rPr>
            </w:pPr>
            <w:r w:rsidRPr="00240232">
              <w:rPr>
                <w:b/>
                <w:bCs/>
                <w:color w:val="000000"/>
                <w:sz w:val="20"/>
                <w:szCs w:val="20"/>
              </w:rPr>
              <w:t>Standard</w:t>
            </w:r>
          </w:p>
        </w:tc>
        <w:tc>
          <w:tcPr>
            <w:tcW w:w="781" w:type="pct"/>
            <w:shd w:val="clear" w:color="auto" w:fill="auto"/>
            <w:vAlign w:val="center"/>
            <w:hideMark/>
          </w:tcPr>
          <w:p w:rsidR="0055687A" w:rsidRPr="00240232" w:rsidRDefault="0055687A" w:rsidP="00A93ADF">
            <w:pPr>
              <w:rPr>
                <w:b/>
                <w:bCs/>
                <w:color w:val="000000"/>
                <w:sz w:val="20"/>
                <w:szCs w:val="20"/>
              </w:rPr>
            </w:pPr>
            <w:r w:rsidRPr="00240232">
              <w:rPr>
                <w:b/>
                <w:bCs/>
                <w:color w:val="000000"/>
                <w:sz w:val="20"/>
                <w:szCs w:val="20"/>
              </w:rPr>
              <w:t>Sub-Standard</w:t>
            </w:r>
          </w:p>
        </w:tc>
        <w:tc>
          <w:tcPr>
            <w:tcW w:w="907" w:type="pct"/>
            <w:shd w:val="clear" w:color="auto" w:fill="auto"/>
            <w:vAlign w:val="center"/>
            <w:hideMark/>
          </w:tcPr>
          <w:p w:rsidR="0055687A" w:rsidRPr="00240232" w:rsidRDefault="0055687A" w:rsidP="00A93ADF">
            <w:pPr>
              <w:rPr>
                <w:b/>
                <w:bCs/>
                <w:color w:val="000000"/>
                <w:sz w:val="20"/>
                <w:szCs w:val="20"/>
              </w:rPr>
            </w:pPr>
            <w:r w:rsidRPr="00240232">
              <w:rPr>
                <w:b/>
                <w:bCs/>
                <w:color w:val="000000"/>
                <w:sz w:val="20"/>
                <w:szCs w:val="20"/>
              </w:rPr>
              <w:t>Essentialized Standard</w:t>
            </w:r>
          </w:p>
        </w:tc>
        <w:tc>
          <w:tcPr>
            <w:tcW w:w="1275" w:type="pct"/>
            <w:shd w:val="clear" w:color="auto" w:fill="auto"/>
            <w:vAlign w:val="center"/>
            <w:hideMark/>
          </w:tcPr>
          <w:p w:rsidR="0055687A" w:rsidRPr="00240232" w:rsidRDefault="0055687A" w:rsidP="00A93ADF">
            <w:pPr>
              <w:rPr>
                <w:b/>
                <w:bCs/>
                <w:color w:val="000000"/>
                <w:sz w:val="20"/>
                <w:szCs w:val="20"/>
              </w:rPr>
            </w:pPr>
            <w:r w:rsidRPr="00240232">
              <w:rPr>
                <w:b/>
                <w:bCs/>
                <w:color w:val="000000"/>
                <w:sz w:val="20"/>
                <w:szCs w:val="20"/>
              </w:rPr>
              <w:t>L/M/H Descriptors</w:t>
            </w:r>
          </w:p>
        </w:tc>
      </w:tr>
      <w:tr w:rsidR="0055687A" w:rsidRPr="00792635" w:rsidTr="00A93ADF">
        <w:trPr>
          <w:cantSplit/>
          <w:trHeight w:val="300"/>
        </w:trPr>
        <w:tc>
          <w:tcPr>
            <w:tcW w:w="548" w:type="pct"/>
            <w:shd w:val="clear" w:color="auto" w:fill="auto"/>
            <w:vAlign w:val="center"/>
          </w:tcPr>
          <w:p w:rsidR="0055687A" w:rsidRPr="00240232" w:rsidRDefault="0055687A" w:rsidP="00A93ADF">
            <w:pPr>
              <w:rPr>
                <w:bCs/>
                <w:color w:val="000000"/>
                <w:sz w:val="20"/>
                <w:szCs w:val="20"/>
              </w:rPr>
            </w:pPr>
            <w:r w:rsidRPr="00240232">
              <w:rPr>
                <w:b/>
                <w:color w:val="000000"/>
                <w:sz w:val="20"/>
                <w:szCs w:val="20"/>
              </w:rPr>
              <w:t xml:space="preserve">Reading </w:t>
            </w:r>
            <w:r w:rsidRPr="00240232">
              <w:rPr>
                <w:color w:val="000000"/>
                <w:sz w:val="20"/>
                <w:szCs w:val="20"/>
              </w:rPr>
              <w:t>Standards for Literature 6–12</w:t>
            </w:r>
          </w:p>
        </w:tc>
        <w:tc>
          <w:tcPr>
            <w:tcW w:w="544" w:type="pct"/>
            <w:shd w:val="clear" w:color="auto" w:fill="auto"/>
            <w:vAlign w:val="center"/>
          </w:tcPr>
          <w:p w:rsidR="0055687A" w:rsidRPr="00240232" w:rsidRDefault="0055687A" w:rsidP="00A93ADF">
            <w:pPr>
              <w:rPr>
                <w:bCs/>
                <w:color w:val="000000"/>
                <w:sz w:val="20"/>
                <w:szCs w:val="20"/>
              </w:rPr>
            </w:pPr>
            <w:r w:rsidRPr="00240232">
              <w:rPr>
                <w:color w:val="000000"/>
                <w:sz w:val="20"/>
                <w:szCs w:val="20"/>
              </w:rPr>
              <w:t>2. Craft and Structure</w:t>
            </w:r>
          </w:p>
        </w:tc>
        <w:tc>
          <w:tcPr>
            <w:tcW w:w="945" w:type="pct"/>
            <w:shd w:val="clear" w:color="auto" w:fill="auto"/>
            <w:vAlign w:val="center"/>
          </w:tcPr>
          <w:p w:rsidR="0055687A" w:rsidRPr="00240232" w:rsidRDefault="0055687A" w:rsidP="00A93ADF">
            <w:pPr>
              <w:rPr>
                <w:bCs/>
                <w:color w:val="000000"/>
                <w:sz w:val="20"/>
                <w:szCs w:val="20"/>
              </w:rPr>
            </w:pPr>
            <w:r w:rsidRPr="00240232">
              <w:rPr>
                <w:color w:val="000000"/>
                <w:sz w:val="20"/>
                <w:szCs w:val="20"/>
              </w:rPr>
              <w:t>4. Determine the meaning of words and phrases as they are used in the text, including figurative and connotative meanings; analyze the impact of specific word choices on meaning and tone, including words with multiple meanings or language that is particularly fresh, engaging, or beautiful. (Include Shakespeare as well as other authors.)</w:t>
            </w:r>
          </w:p>
        </w:tc>
        <w:tc>
          <w:tcPr>
            <w:tcW w:w="781" w:type="pct"/>
            <w:shd w:val="clear" w:color="auto" w:fill="auto"/>
            <w:vAlign w:val="center"/>
          </w:tcPr>
          <w:p w:rsidR="0055687A" w:rsidRPr="00240232" w:rsidRDefault="0055687A" w:rsidP="00A93ADF">
            <w:pPr>
              <w:rPr>
                <w:bCs/>
                <w:color w:val="000000"/>
                <w:sz w:val="20"/>
                <w:szCs w:val="20"/>
              </w:rPr>
            </w:pPr>
            <w:r w:rsidRPr="00240232">
              <w:rPr>
                <w:color w:val="000000"/>
                <w:sz w:val="20"/>
                <w:szCs w:val="20"/>
              </w:rPr>
              <w:t>None</w:t>
            </w:r>
          </w:p>
        </w:tc>
        <w:tc>
          <w:tcPr>
            <w:tcW w:w="907" w:type="pct"/>
            <w:shd w:val="clear" w:color="auto" w:fill="auto"/>
            <w:vAlign w:val="center"/>
          </w:tcPr>
          <w:p w:rsidR="0055687A" w:rsidRPr="00240232" w:rsidRDefault="0055687A" w:rsidP="00A93ADF">
            <w:pPr>
              <w:rPr>
                <w:bCs/>
                <w:color w:val="000000"/>
                <w:sz w:val="20"/>
                <w:szCs w:val="20"/>
              </w:rPr>
            </w:pPr>
            <w:r w:rsidRPr="00240232">
              <w:rPr>
                <w:sz w:val="20"/>
                <w:szCs w:val="20"/>
              </w:rPr>
              <w:t>Identify the meaning of figurative, connotative, or words with 2 or more meanings.</w:t>
            </w:r>
          </w:p>
        </w:tc>
        <w:tc>
          <w:tcPr>
            <w:tcW w:w="1275" w:type="pct"/>
            <w:shd w:val="clear" w:color="auto" w:fill="auto"/>
            <w:vAlign w:val="center"/>
          </w:tcPr>
          <w:p w:rsidR="0055687A" w:rsidRPr="00240232" w:rsidRDefault="0055687A" w:rsidP="00A93ADF">
            <w:pPr>
              <w:rPr>
                <w:bCs/>
                <w:color w:val="000000"/>
                <w:sz w:val="20"/>
                <w:szCs w:val="20"/>
              </w:rPr>
            </w:pPr>
            <w:r w:rsidRPr="00240232">
              <w:rPr>
                <w:color w:val="000000"/>
                <w:sz w:val="20"/>
                <w:szCs w:val="20"/>
              </w:rPr>
              <w:t>L - Paragraph of 4 sentences read to student. M - Paragraph of 5 sentences read to student. H - 2 paragraphs read to student</w:t>
            </w:r>
            <w:r>
              <w:rPr>
                <w:color w:val="000000"/>
                <w:sz w:val="20"/>
                <w:szCs w:val="20"/>
              </w:rPr>
              <w:t>.</w:t>
            </w:r>
          </w:p>
        </w:tc>
      </w:tr>
      <w:tr w:rsidR="0055687A" w:rsidRPr="00792635" w:rsidTr="00A93ADF">
        <w:trPr>
          <w:cantSplit/>
          <w:trHeight w:val="300"/>
        </w:trPr>
        <w:tc>
          <w:tcPr>
            <w:tcW w:w="548" w:type="pct"/>
            <w:shd w:val="clear" w:color="auto" w:fill="auto"/>
            <w:vAlign w:val="center"/>
          </w:tcPr>
          <w:p w:rsidR="0055687A" w:rsidRPr="00240232" w:rsidRDefault="0055687A" w:rsidP="00A93ADF">
            <w:pPr>
              <w:rPr>
                <w:b/>
                <w:bCs/>
                <w:color w:val="000000"/>
                <w:sz w:val="20"/>
                <w:szCs w:val="20"/>
              </w:rPr>
            </w:pPr>
            <w:r w:rsidRPr="00240232">
              <w:rPr>
                <w:b/>
                <w:color w:val="000000"/>
                <w:sz w:val="20"/>
                <w:szCs w:val="20"/>
              </w:rPr>
              <w:t>Math</w:t>
            </w:r>
          </w:p>
        </w:tc>
        <w:tc>
          <w:tcPr>
            <w:tcW w:w="544" w:type="pct"/>
            <w:shd w:val="clear" w:color="auto" w:fill="auto"/>
            <w:vAlign w:val="center"/>
          </w:tcPr>
          <w:p w:rsidR="0055687A" w:rsidRPr="00240232" w:rsidRDefault="0055687A" w:rsidP="00A93ADF">
            <w:pPr>
              <w:rPr>
                <w:b/>
                <w:bCs/>
                <w:color w:val="000000"/>
                <w:sz w:val="20"/>
                <w:szCs w:val="20"/>
              </w:rPr>
            </w:pPr>
            <w:r w:rsidRPr="00240232">
              <w:rPr>
                <w:color w:val="000000"/>
                <w:sz w:val="20"/>
                <w:szCs w:val="20"/>
              </w:rPr>
              <w:t>Expressing Geometric Properties with Equations</w:t>
            </w:r>
          </w:p>
        </w:tc>
        <w:tc>
          <w:tcPr>
            <w:tcW w:w="945" w:type="pct"/>
            <w:shd w:val="clear" w:color="auto" w:fill="auto"/>
            <w:vAlign w:val="center"/>
          </w:tcPr>
          <w:p w:rsidR="0055687A" w:rsidRPr="00240232" w:rsidRDefault="0055687A" w:rsidP="00A93ADF">
            <w:pPr>
              <w:rPr>
                <w:b/>
                <w:bCs/>
                <w:color w:val="000000"/>
                <w:sz w:val="20"/>
                <w:szCs w:val="20"/>
              </w:rPr>
            </w:pPr>
            <w:r w:rsidRPr="00240232">
              <w:rPr>
                <w:color w:val="000000"/>
                <w:sz w:val="20"/>
                <w:szCs w:val="20"/>
              </w:rPr>
              <w:br/>
              <w:t>2. Use coordinates to prove simple geometric theorems algebraically</w:t>
            </w:r>
          </w:p>
        </w:tc>
        <w:tc>
          <w:tcPr>
            <w:tcW w:w="781" w:type="pct"/>
            <w:shd w:val="clear" w:color="auto" w:fill="auto"/>
            <w:vAlign w:val="center"/>
          </w:tcPr>
          <w:p w:rsidR="0055687A" w:rsidRPr="00240232" w:rsidRDefault="0055687A" w:rsidP="00A93ADF">
            <w:pPr>
              <w:rPr>
                <w:b/>
                <w:bCs/>
                <w:color w:val="000000"/>
                <w:sz w:val="20"/>
                <w:szCs w:val="20"/>
              </w:rPr>
            </w:pPr>
            <w:r w:rsidRPr="00240232">
              <w:rPr>
                <w:color w:val="000000"/>
                <w:sz w:val="20"/>
                <w:szCs w:val="20"/>
              </w:rPr>
              <w:t>7. Use coordinates to compute perimeters of polygons and areas of triangles and rectangles, e.g., using the distance formula.</w:t>
            </w:r>
          </w:p>
        </w:tc>
        <w:tc>
          <w:tcPr>
            <w:tcW w:w="907" w:type="pct"/>
            <w:shd w:val="clear" w:color="auto" w:fill="auto"/>
            <w:vAlign w:val="center"/>
          </w:tcPr>
          <w:p w:rsidR="0055687A" w:rsidRPr="00240232" w:rsidRDefault="0055687A" w:rsidP="00A93ADF">
            <w:pPr>
              <w:rPr>
                <w:b/>
                <w:bCs/>
                <w:color w:val="000000"/>
                <w:sz w:val="20"/>
                <w:szCs w:val="20"/>
              </w:rPr>
            </w:pPr>
            <w:r w:rsidRPr="00240232">
              <w:rPr>
                <w:color w:val="000000"/>
                <w:sz w:val="20"/>
                <w:szCs w:val="20"/>
              </w:rPr>
              <w:t>Identify the perimeter of triangles, squares, rectangles, and pentagons.</w:t>
            </w:r>
          </w:p>
        </w:tc>
        <w:tc>
          <w:tcPr>
            <w:tcW w:w="1275" w:type="pct"/>
            <w:shd w:val="clear" w:color="auto" w:fill="auto"/>
            <w:vAlign w:val="center"/>
          </w:tcPr>
          <w:p w:rsidR="0055687A" w:rsidRPr="00240232" w:rsidRDefault="0055687A" w:rsidP="00A93ADF">
            <w:pPr>
              <w:rPr>
                <w:b/>
                <w:bCs/>
                <w:color w:val="000000"/>
                <w:sz w:val="20"/>
                <w:szCs w:val="20"/>
              </w:rPr>
            </w:pPr>
            <w:r w:rsidRPr="00240232">
              <w:rPr>
                <w:color w:val="000000"/>
                <w:sz w:val="20"/>
                <w:szCs w:val="20"/>
              </w:rPr>
              <w:t>L - identify perimeter of triangles with side lengths (1-5). M - identify the perimeter of squares and rectangles with side lengths (1-10). H - identify the perimeter of pentagons with side lengths (1-20).</w:t>
            </w:r>
          </w:p>
        </w:tc>
      </w:tr>
      <w:tr w:rsidR="0055687A" w:rsidRPr="00792635" w:rsidTr="00A93ADF">
        <w:trPr>
          <w:cantSplit/>
          <w:trHeight w:val="300"/>
        </w:trPr>
        <w:tc>
          <w:tcPr>
            <w:tcW w:w="548" w:type="pct"/>
            <w:shd w:val="clear" w:color="auto" w:fill="auto"/>
            <w:vAlign w:val="center"/>
          </w:tcPr>
          <w:p w:rsidR="0055687A" w:rsidRPr="00240232" w:rsidRDefault="0055687A" w:rsidP="00A93ADF">
            <w:pPr>
              <w:rPr>
                <w:color w:val="000000"/>
                <w:sz w:val="20"/>
                <w:szCs w:val="20"/>
              </w:rPr>
            </w:pPr>
            <w:r w:rsidRPr="00240232">
              <w:rPr>
                <w:b/>
                <w:sz w:val="20"/>
                <w:szCs w:val="20"/>
              </w:rPr>
              <w:t>Science</w:t>
            </w:r>
          </w:p>
        </w:tc>
        <w:tc>
          <w:tcPr>
            <w:tcW w:w="544" w:type="pct"/>
            <w:shd w:val="clear" w:color="auto" w:fill="auto"/>
            <w:vAlign w:val="center"/>
          </w:tcPr>
          <w:p w:rsidR="0055687A" w:rsidRPr="00240232" w:rsidRDefault="0055687A" w:rsidP="00A93ADF">
            <w:pPr>
              <w:rPr>
                <w:color w:val="000000"/>
                <w:sz w:val="20"/>
                <w:szCs w:val="20"/>
              </w:rPr>
            </w:pPr>
            <w:r w:rsidRPr="00240232">
              <w:rPr>
                <w:sz w:val="20"/>
                <w:szCs w:val="20"/>
              </w:rPr>
              <w:t>Earth’s Systems</w:t>
            </w:r>
          </w:p>
        </w:tc>
        <w:tc>
          <w:tcPr>
            <w:tcW w:w="945" w:type="pct"/>
            <w:shd w:val="clear" w:color="auto" w:fill="auto"/>
            <w:vAlign w:val="center"/>
          </w:tcPr>
          <w:p w:rsidR="0055687A" w:rsidRPr="00240232" w:rsidRDefault="0055687A" w:rsidP="00A93ADF">
            <w:pPr>
              <w:rPr>
                <w:sz w:val="20"/>
                <w:szCs w:val="20"/>
              </w:rPr>
            </w:pPr>
            <w:r w:rsidRPr="00240232">
              <w:rPr>
                <w:sz w:val="20"/>
                <w:szCs w:val="20"/>
              </w:rPr>
              <w:t xml:space="preserve">Develop a model to illustrate how Earth’s internal and surface processes operate at different spatial and temporal scales to form continental and ocean-floor features. </w:t>
            </w:r>
          </w:p>
          <w:p w:rsidR="0055687A" w:rsidRPr="00240232" w:rsidRDefault="0055687A" w:rsidP="00A93ADF">
            <w:pPr>
              <w:rPr>
                <w:color w:val="000000"/>
                <w:sz w:val="20"/>
                <w:szCs w:val="20"/>
              </w:rPr>
            </w:pPr>
          </w:p>
        </w:tc>
        <w:tc>
          <w:tcPr>
            <w:tcW w:w="781" w:type="pct"/>
            <w:shd w:val="clear" w:color="auto" w:fill="auto"/>
            <w:vAlign w:val="center"/>
          </w:tcPr>
          <w:p w:rsidR="0055687A" w:rsidRPr="00240232" w:rsidRDefault="0055687A" w:rsidP="00A93ADF">
            <w:pPr>
              <w:rPr>
                <w:sz w:val="20"/>
                <w:szCs w:val="20"/>
              </w:rPr>
            </w:pPr>
            <w:r w:rsidRPr="00240232">
              <w:rPr>
                <w:sz w:val="20"/>
                <w:szCs w:val="20"/>
              </w:rPr>
              <w:br/>
              <w:t>H.1E.2 Describe the structure and composition of Earth’s atmosphere, geosphere, and hydrosphere.</w:t>
            </w:r>
            <w:r w:rsidRPr="00240232">
              <w:rPr>
                <w:sz w:val="20"/>
                <w:szCs w:val="20"/>
              </w:rPr>
              <w:br/>
              <w:t>H.2E.1 Identify and predict the effect of energy sources, physical forces, and transfer processes that occur in the Earth system. Describe how matter and energy are cycled between system components over time.</w:t>
            </w:r>
            <w:r w:rsidRPr="00240232">
              <w:rPr>
                <w:sz w:val="20"/>
                <w:szCs w:val="20"/>
              </w:rPr>
              <w:br/>
              <w:t>H.2E.2 Explain how Earth’s atmosphere, geosphere, and hydrosphere change over time and at varying rates. Explain techniques used to elucidate the history of events on Earth.</w:t>
            </w:r>
          </w:p>
          <w:p w:rsidR="0055687A" w:rsidRPr="00240232" w:rsidRDefault="0055687A" w:rsidP="00A93ADF">
            <w:pPr>
              <w:rPr>
                <w:color w:val="000000"/>
                <w:sz w:val="20"/>
                <w:szCs w:val="20"/>
              </w:rPr>
            </w:pPr>
          </w:p>
        </w:tc>
        <w:tc>
          <w:tcPr>
            <w:tcW w:w="907" w:type="pct"/>
            <w:shd w:val="clear" w:color="auto" w:fill="auto"/>
            <w:vAlign w:val="center"/>
          </w:tcPr>
          <w:p w:rsidR="0055687A" w:rsidRPr="00240232" w:rsidRDefault="0055687A" w:rsidP="00A93ADF">
            <w:pPr>
              <w:rPr>
                <w:color w:val="000000"/>
                <w:sz w:val="20"/>
                <w:szCs w:val="20"/>
              </w:rPr>
            </w:pPr>
            <w:r w:rsidRPr="00240232">
              <w:rPr>
                <w:sz w:val="20"/>
                <w:szCs w:val="20"/>
              </w:rPr>
              <w:t>Identify different (geoscience) processes that shape the Earth including associated Earth features. (S08ESS2.2)</w:t>
            </w:r>
          </w:p>
        </w:tc>
        <w:tc>
          <w:tcPr>
            <w:tcW w:w="1275" w:type="pct"/>
            <w:shd w:val="clear" w:color="auto" w:fill="auto"/>
            <w:vAlign w:val="center"/>
          </w:tcPr>
          <w:p w:rsidR="0055687A" w:rsidRPr="00240232" w:rsidRDefault="0055687A" w:rsidP="00A93ADF">
            <w:pPr>
              <w:rPr>
                <w:color w:val="000000"/>
                <w:sz w:val="20"/>
                <w:szCs w:val="20"/>
              </w:rPr>
            </w:pPr>
            <w:r w:rsidRPr="00240232">
              <w:rPr>
                <w:color w:val="000000"/>
                <w:sz w:val="20"/>
                <w:szCs w:val="20"/>
              </w:rPr>
              <w:t>L - Identify conditions that lead to specific types of surface weathering (i.e., with water, ice, or wind as vehicle - Which shows water erosion? - a river, pond or volcano); M - Identify geoscience processes that shape local geographic features (e.g., earthquakes, volcanoes, meteorites/craters - Which is an example of volcanism? – pictures of a volcano, river, rain); H - Extend M-level questions by linking features to the geoscience process (e.g., Which type of erosion process likely led to the canyon? - river, rain, wind; Which feature is associated with recent volcanism? - island, valley, river).</w:t>
            </w:r>
          </w:p>
        </w:tc>
      </w:tr>
    </w:tbl>
    <w:p w:rsidR="00C7549F" w:rsidRDefault="0055687A">
      <w:bookmarkStart w:id="0" w:name="_GoBack"/>
      <w:bookmarkEnd w:id="0"/>
    </w:p>
    <w:sectPr w:rsidR="00C7549F" w:rsidSect="0055687A">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87A"/>
    <w:rsid w:val="0055687A"/>
    <w:rsid w:val="006A7D44"/>
    <w:rsid w:val="00A04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C6FED"/>
  <w14:defaultImageDpi w14:val="32767"/>
  <w15:chartTrackingRefBased/>
  <w15:docId w15:val="{B92D7D34-6CD2-2845-A778-D6473E10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5687A"/>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392</Words>
  <Characters>2235</Characters>
  <Application>Microsoft Office Word</Application>
  <DocSecurity>0</DocSecurity>
  <Lines>18</Lines>
  <Paragraphs>5</Paragraphs>
  <ScaleCrop>false</ScaleCrop>
  <Company>BRT</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Rowley</dc:creator>
  <cp:keywords/>
  <dc:description/>
  <cp:lastModifiedBy>Brock Rowley</cp:lastModifiedBy>
  <cp:revision>1</cp:revision>
  <dcterms:created xsi:type="dcterms:W3CDTF">2018-05-10T18:17:00Z</dcterms:created>
  <dcterms:modified xsi:type="dcterms:W3CDTF">2018-05-10T18:18:00Z</dcterms:modified>
</cp:coreProperties>
</file>