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640" w:rsidRPr="00792635" w:rsidRDefault="00390640" w:rsidP="00390640">
      <w:pPr>
        <w:rPr>
          <w:b/>
        </w:rPr>
      </w:pPr>
      <w:r w:rsidRPr="00792635">
        <w:rPr>
          <w:b/>
        </w:rPr>
        <w:t xml:space="preserve">GRADE 8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315"/>
        <w:gridCol w:w="2016"/>
        <w:gridCol w:w="2419"/>
        <w:gridCol w:w="1820"/>
        <w:gridCol w:w="2750"/>
      </w:tblGrid>
      <w:tr w:rsidR="00390640" w:rsidRPr="006E0DA9" w:rsidTr="00A93ADF">
        <w:trPr>
          <w:cantSplit/>
          <w:trHeight w:val="300"/>
          <w:tblHeader/>
        </w:trPr>
        <w:tc>
          <w:tcPr>
            <w:tcW w:w="572" w:type="pct"/>
            <w:shd w:val="clear" w:color="auto" w:fill="auto"/>
            <w:vAlign w:val="center"/>
            <w:hideMark/>
          </w:tcPr>
          <w:p w:rsidR="00390640" w:rsidRPr="00240232" w:rsidRDefault="00390640" w:rsidP="00A93ADF">
            <w:pPr>
              <w:rPr>
                <w:b/>
                <w:bCs/>
                <w:color w:val="000000"/>
                <w:sz w:val="20"/>
                <w:szCs w:val="20"/>
              </w:rPr>
            </w:pPr>
            <w:r w:rsidRPr="00240232">
              <w:rPr>
                <w:b/>
                <w:bCs/>
                <w:color w:val="000000"/>
                <w:sz w:val="20"/>
                <w:szCs w:val="20"/>
              </w:rPr>
              <w:t xml:space="preserve">Area </w:t>
            </w:r>
          </w:p>
        </w:tc>
        <w:tc>
          <w:tcPr>
            <w:tcW w:w="564" w:type="pct"/>
            <w:shd w:val="clear" w:color="auto" w:fill="auto"/>
            <w:vAlign w:val="center"/>
            <w:hideMark/>
          </w:tcPr>
          <w:p w:rsidR="00390640" w:rsidRPr="00240232" w:rsidRDefault="00390640" w:rsidP="00A93ADF">
            <w:pPr>
              <w:rPr>
                <w:b/>
                <w:bCs/>
                <w:color w:val="000000"/>
                <w:sz w:val="20"/>
                <w:szCs w:val="20"/>
              </w:rPr>
            </w:pPr>
            <w:r w:rsidRPr="00240232">
              <w:rPr>
                <w:b/>
                <w:bCs/>
                <w:color w:val="000000"/>
                <w:sz w:val="20"/>
                <w:szCs w:val="20"/>
              </w:rPr>
              <w:t xml:space="preserve">Cluster </w:t>
            </w:r>
          </w:p>
        </w:tc>
        <w:tc>
          <w:tcPr>
            <w:tcW w:w="865" w:type="pct"/>
            <w:shd w:val="clear" w:color="auto" w:fill="auto"/>
            <w:vAlign w:val="center"/>
            <w:hideMark/>
          </w:tcPr>
          <w:p w:rsidR="00390640" w:rsidRPr="00240232" w:rsidRDefault="00390640" w:rsidP="00A93ADF">
            <w:pPr>
              <w:rPr>
                <w:b/>
                <w:bCs/>
                <w:color w:val="000000"/>
                <w:sz w:val="20"/>
                <w:szCs w:val="20"/>
              </w:rPr>
            </w:pPr>
            <w:r w:rsidRPr="00240232">
              <w:rPr>
                <w:b/>
                <w:bCs/>
                <w:color w:val="000000"/>
                <w:sz w:val="20"/>
                <w:szCs w:val="20"/>
              </w:rPr>
              <w:t>Standard</w:t>
            </w:r>
          </w:p>
        </w:tc>
        <w:tc>
          <w:tcPr>
            <w:tcW w:w="1038" w:type="pct"/>
            <w:shd w:val="clear" w:color="auto" w:fill="auto"/>
            <w:vAlign w:val="center"/>
            <w:hideMark/>
          </w:tcPr>
          <w:p w:rsidR="00390640" w:rsidRPr="00240232" w:rsidRDefault="00390640" w:rsidP="00A93ADF">
            <w:pPr>
              <w:rPr>
                <w:b/>
                <w:bCs/>
                <w:color w:val="000000"/>
                <w:sz w:val="20"/>
                <w:szCs w:val="20"/>
              </w:rPr>
            </w:pPr>
            <w:r w:rsidRPr="00240232">
              <w:rPr>
                <w:b/>
                <w:bCs/>
                <w:color w:val="000000"/>
                <w:sz w:val="20"/>
                <w:szCs w:val="20"/>
              </w:rPr>
              <w:t>Sub-Standard</w:t>
            </w:r>
          </w:p>
        </w:tc>
        <w:tc>
          <w:tcPr>
            <w:tcW w:w="781" w:type="pct"/>
            <w:shd w:val="clear" w:color="auto" w:fill="auto"/>
            <w:vAlign w:val="center"/>
            <w:hideMark/>
          </w:tcPr>
          <w:p w:rsidR="00390640" w:rsidRPr="00240232" w:rsidRDefault="00390640" w:rsidP="00A93ADF">
            <w:pPr>
              <w:rPr>
                <w:b/>
                <w:bCs/>
                <w:color w:val="000000"/>
                <w:sz w:val="20"/>
                <w:szCs w:val="20"/>
              </w:rPr>
            </w:pPr>
            <w:r w:rsidRPr="00240232">
              <w:rPr>
                <w:b/>
                <w:bCs/>
                <w:color w:val="000000"/>
                <w:sz w:val="20"/>
                <w:szCs w:val="20"/>
              </w:rPr>
              <w:t>Essentialized Standard</w:t>
            </w:r>
          </w:p>
        </w:tc>
        <w:tc>
          <w:tcPr>
            <w:tcW w:w="1180" w:type="pct"/>
            <w:shd w:val="clear" w:color="auto" w:fill="auto"/>
            <w:vAlign w:val="center"/>
            <w:hideMark/>
          </w:tcPr>
          <w:p w:rsidR="00390640" w:rsidRPr="00240232" w:rsidRDefault="00390640" w:rsidP="00A93ADF">
            <w:pPr>
              <w:rPr>
                <w:b/>
                <w:bCs/>
                <w:color w:val="000000"/>
                <w:sz w:val="20"/>
                <w:szCs w:val="20"/>
              </w:rPr>
            </w:pPr>
            <w:r w:rsidRPr="00240232">
              <w:rPr>
                <w:b/>
                <w:bCs/>
                <w:color w:val="000000"/>
                <w:sz w:val="20"/>
                <w:szCs w:val="20"/>
              </w:rPr>
              <w:t>L/M/H Descriptors</w:t>
            </w:r>
          </w:p>
        </w:tc>
      </w:tr>
      <w:tr w:rsidR="00390640" w:rsidRPr="006E0DA9" w:rsidTr="00A93ADF">
        <w:trPr>
          <w:cantSplit/>
          <w:trHeight w:val="300"/>
        </w:trPr>
        <w:tc>
          <w:tcPr>
            <w:tcW w:w="572" w:type="pct"/>
            <w:shd w:val="clear" w:color="auto" w:fill="auto"/>
            <w:vAlign w:val="center"/>
          </w:tcPr>
          <w:p w:rsidR="00390640" w:rsidRPr="00240232" w:rsidRDefault="00390640" w:rsidP="00A93ADF">
            <w:pPr>
              <w:rPr>
                <w:bCs/>
                <w:color w:val="000000"/>
                <w:sz w:val="20"/>
                <w:szCs w:val="20"/>
              </w:rPr>
            </w:pPr>
            <w:r w:rsidRPr="00240232">
              <w:rPr>
                <w:b/>
                <w:color w:val="000000"/>
                <w:sz w:val="20"/>
                <w:szCs w:val="20"/>
              </w:rPr>
              <w:t>Reading</w:t>
            </w:r>
            <w:r w:rsidRPr="00240232">
              <w:rPr>
                <w:color w:val="000000"/>
                <w:sz w:val="20"/>
                <w:szCs w:val="20"/>
              </w:rPr>
              <w:t xml:space="preserve"> Standards for Literature 6–12</w:t>
            </w:r>
          </w:p>
        </w:tc>
        <w:tc>
          <w:tcPr>
            <w:tcW w:w="564" w:type="pct"/>
            <w:shd w:val="clear" w:color="auto" w:fill="auto"/>
            <w:vAlign w:val="center"/>
          </w:tcPr>
          <w:p w:rsidR="00390640" w:rsidRPr="00240232" w:rsidRDefault="00390640" w:rsidP="00A93ADF">
            <w:pPr>
              <w:rPr>
                <w:bCs/>
                <w:color w:val="000000"/>
                <w:sz w:val="20"/>
                <w:szCs w:val="20"/>
              </w:rPr>
            </w:pPr>
            <w:r w:rsidRPr="00240232">
              <w:rPr>
                <w:color w:val="000000"/>
                <w:sz w:val="20"/>
                <w:szCs w:val="20"/>
              </w:rPr>
              <w:t>2. Craft and Structure</w:t>
            </w:r>
          </w:p>
        </w:tc>
        <w:tc>
          <w:tcPr>
            <w:tcW w:w="865" w:type="pct"/>
            <w:shd w:val="clear" w:color="auto" w:fill="auto"/>
            <w:vAlign w:val="center"/>
          </w:tcPr>
          <w:p w:rsidR="00390640" w:rsidRPr="00240232" w:rsidRDefault="00390640" w:rsidP="00A93ADF">
            <w:pPr>
              <w:rPr>
                <w:bCs/>
                <w:color w:val="000000"/>
                <w:sz w:val="20"/>
                <w:szCs w:val="20"/>
              </w:rPr>
            </w:pPr>
            <w:r w:rsidRPr="00240232">
              <w:rPr>
                <w:color w:val="000000"/>
                <w:sz w:val="20"/>
                <w:szCs w:val="20"/>
              </w:rPr>
              <w:t xml:space="preserve">6. Analyze how differences in the points of view of the characters and the audience or reader (e.g., created through the use of dramatic irony) create such effects as suspense or humor. </w:t>
            </w:r>
          </w:p>
        </w:tc>
        <w:tc>
          <w:tcPr>
            <w:tcW w:w="1038" w:type="pct"/>
            <w:shd w:val="clear" w:color="auto" w:fill="auto"/>
            <w:vAlign w:val="center"/>
          </w:tcPr>
          <w:p w:rsidR="00390640" w:rsidRPr="00240232" w:rsidRDefault="00390640" w:rsidP="00A93ADF">
            <w:pPr>
              <w:rPr>
                <w:bCs/>
                <w:color w:val="000000"/>
                <w:sz w:val="20"/>
                <w:szCs w:val="20"/>
              </w:rPr>
            </w:pPr>
            <w:r w:rsidRPr="00240232">
              <w:rPr>
                <w:color w:val="000000"/>
                <w:sz w:val="20"/>
                <w:szCs w:val="20"/>
              </w:rPr>
              <w:t>None</w:t>
            </w:r>
          </w:p>
        </w:tc>
        <w:tc>
          <w:tcPr>
            <w:tcW w:w="781" w:type="pct"/>
            <w:shd w:val="clear" w:color="auto" w:fill="auto"/>
            <w:vAlign w:val="center"/>
          </w:tcPr>
          <w:p w:rsidR="00390640" w:rsidRPr="00240232" w:rsidRDefault="00390640" w:rsidP="00A93ADF">
            <w:pPr>
              <w:rPr>
                <w:bCs/>
                <w:color w:val="000000"/>
                <w:sz w:val="20"/>
                <w:szCs w:val="20"/>
              </w:rPr>
            </w:pPr>
            <w:r w:rsidRPr="00240232">
              <w:rPr>
                <w:sz w:val="20"/>
                <w:szCs w:val="20"/>
              </w:rPr>
              <w:t xml:space="preserve">Identify the narrator or a character in a story read to student. </w:t>
            </w:r>
          </w:p>
        </w:tc>
        <w:tc>
          <w:tcPr>
            <w:tcW w:w="1180" w:type="pct"/>
            <w:shd w:val="clear" w:color="auto" w:fill="auto"/>
            <w:vAlign w:val="center"/>
          </w:tcPr>
          <w:p w:rsidR="00390640" w:rsidRPr="00240232" w:rsidRDefault="00390640" w:rsidP="00A93ADF">
            <w:pPr>
              <w:rPr>
                <w:bCs/>
                <w:color w:val="000000"/>
                <w:sz w:val="20"/>
                <w:szCs w:val="20"/>
              </w:rPr>
            </w:pPr>
            <w:r w:rsidRPr="00240232">
              <w:rPr>
                <w:sz w:val="20"/>
                <w:szCs w:val="20"/>
              </w:rPr>
              <w:t>L - 3 sentences that contain 2 characters or narrators read to student. M - Paragraph of 4 sentences that contains 2 characters or narrators read to student. H - Paragraph of 5 sentences that contains 2 characters or narrators read to student.</w:t>
            </w:r>
          </w:p>
        </w:tc>
      </w:tr>
      <w:tr w:rsidR="00390640" w:rsidRPr="006E0DA9" w:rsidTr="00A93ADF">
        <w:trPr>
          <w:cantSplit/>
          <w:trHeight w:val="300"/>
        </w:trPr>
        <w:tc>
          <w:tcPr>
            <w:tcW w:w="572" w:type="pct"/>
            <w:shd w:val="clear" w:color="auto" w:fill="auto"/>
            <w:vAlign w:val="center"/>
          </w:tcPr>
          <w:p w:rsidR="00390640" w:rsidRPr="00240232" w:rsidRDefault="00390640" w:rsidP="00A93ADF">
            <w:pPr>
              <w:rPr>
                <w:b/>
                <w:bCs/>
                <w:color w:val="000000"/>
                <w:sz w:val="20"/>
                <w:szCs w:val="20"/>
              </w:rPr>
            </w:pPr>
            <w:r w:rsidRPr="00240232">
              <w:rPr>
                <w:b/>
                <w:color w:val="000000"/>
                <w:sz w:val="20"/>
                <w:szCs w:val="20"/>
              </w:rPr>
              <w:t>Math</w:t>
            </w:r>
          </w:p>
        </w:tc>
        <w:tc>
          <w:tcPr>
            <w:tcW w:w="564" w:type="pct"/>
            <w:shd w:val="clear" w:color="auto" w:fill="auto"/>
            <w:vAlign w:val="center"/>
          </w:tcPr>
          <w:p w:rsidR="00390640" w:rsidRPr="00240232" w:rsidRDefault="00390640" w:rsidP="00A93ADF">
            <w:pPr>
              <w:rPr>
                <w:b/>
                <w:bCs/>
                <w:color w:val="000000"/>
                <w:sz w:val="20"/>
                <w:szCs w:val="20"/>
              </w:rPr>
            </w:pPr>
            <w:r w:rsidRPr="00240232">
              <w:rPr>
                <w:color w:val="000000"/>
                <w:sz w:val="20"/>
                <w:szCs w:val="20"/>
              </w:rPr>
              <w:br/>
              <w:t>Statistics &amp; Probability</w:t>
            </w:r>
          </w:p>
        </w:tc>
        <w:tc>
          <w:tcPr>
            <w:tcW w:w="865" w:type="pct"/>
            <w:shd w:val="clear" w:color="auto" w:fill="auto"/>
            <w:vAlign w:val="center"/>
          </w:tcPr>
          <w:p w:rsidR="00390640" w:rsidRPr="00240232" w:rsidRDefault="00390640" w:rsidP="00A93ADF">
            <w:pPr>
              <w:rPr>
                <w:b/>
                <w:bCs/>
                <w:color w:val="000000"/>
                <w:sz w:val="20"/>
                <w:szCs w:val="20"/>
              </w:rPr>
            </w:pPr>
            <w:r w:rsidRPr="00240232">
              <w:rPr>
                <w:color w:val="000000"/>
                <w:sz w:val="20"/>
                <w:szCs w:val="20"/>
              </w:rPr>
              <w:t>1. Investigate patterns of association in bivariate data.</w:t>
            </w:r>
          </w:p>
        </w:tc>
        <w:tc>
          <w:tcPr>
            <w:tcW w:w="1038" w:type="pct"/>
            <w:shd w:val="clear" w:color="auto" w:fill="auto"/>
            <w:vAlign w:val="center"/>
          </w:tcPr>
          <w:p w:rsidR="00390640" w:rsidRPr="00240232" w:rsidRDefault="00390640" w:rsidP="00A93ADF">
            <w:pPr>
              <w:rPr>
                <w:b/>
                <w:bCs/>
                <w:color w:val="000000"/>
                <w:sz w:val="20"/>
                <w:szCs w:val="20"/>
              </w:rPr>
            </w:pPr>
            <w:r w:rsidRPr="00240232">
              <w:rPr>
                <w:color w:val="000000"/>
                <w:sz w:val="20"/>
                <w:szCs w:val="20"/>
              </w:rPr>
              <w:t>3. Use the equation of a linear model to solve problems in the context of bivariate measurement data, interpreting the slope and intercept. For example, in a linear model for a biology experiment, interpret a slope of 1.5 cm/</w:t>
            </w:r>
            <w:proofErr w:type="spellStart"/>
            <w:r w:rsidRPr="00240232">
              <w:rPr>
                <w:color w:val="000000"/>
                <w:sz w:val="20"/>
                <w:szCs w:val="20"/>
              </w:rPr>
              <w:t>hr</w:t>
            </w:r>
            <w:proofErr w:type="spellEnd"/>
            <w:r w:rsidRPr="00240232">
              <w:rPr>
                <w:color w:val="000000"/>
                <w:sz w:val="20"/>
                <w:szCs w:val="20"/>
              </w:rPr>
              <w:t xml:space="preserve"> as meaning that an additional hour of sunlight each day is associated with an additional 1.5 cm in mature plant height. </w:t>
            </w:r>
          </w:p>
        </w:tc>
        <w:tc>
          <w:tcPr>
            <w:tcW w:w="781" w:type="pct"/>
            <w:shd w:val="clear" w:color="auto" w:fill="auto"/>
            <w:vAlign w:val="center"/>
          </w:tcPr>
          <w:p w:rsidR="00390640" w:rsidRPr="00240232" w:rsidRDefault="00390640" w:rsidP="00A93ADF">
            <w:pPr>
              <w:rPr>
                <w:b/>
                <w:bCs/>
                <w:color w:val="000000"/>
                <w:sz w:val="20"/>
                <w:szCs w:val="20"/>
              </w:rPr>
            </w:pPr>
            <w:r w:rsidRPr="00240232">
              <w:rPr>
                <w:color w:val="000000"/>
                <w:sz w:val="20"/>
                <w:szCs w:val="20"/>
              </w:rPr>
              <w:t xml:space="preserve">Compare rates using slower/less, faster/more, same (mph, beats per second, $ per hour, $ per </w:t>
            </w:r>
            <w:proofErr w:type="spellStart"/>
            <w:r w:rsidRPr="00240232">
              <w:rPr>
                <w:color w:val="000000"/>
                <w:sz w:val="20"/>
                <w:szCs w:val="20"/>
              </w:rPr>
              <w:t>lb</w:t>
            </w:r>
            <w:proofErr w:type="spellEnd"/>
            <w:r w:rsidRPr="00240232">
              <w:rPr>
                <w:color w:val="000000"/>
                <w:sz w:val="20"/>
                <w:szCs w:val="20"/>
              </w:rPr>
              <w:t>).</w:t>
            </w:r>
          </w:p>
        </w:tc>
        <w:tc>
          <w:tcPr>
            <w:tcW w:w="1180" w:type="pct"/>
            <w:shd w:val="clear" w:color="auto" w:fill="auto"/>
            <w:vAlign w:val="center"/>
          </w:tcPr>
          <w:p w:rsidR="00390640" w:rsidRPr="00240232" w:rsidRDefault="00390640" w:rsidP="00A93ADF">
            <w:pPr>
              <w:rPr>
                <w:b/>
                <w:bCs/>
                <w:color w:val="000000"/>
                <w:sz w:val="20"/>
                <w:szCs w:val="20"/>
              </w:rPr>
            </w:pPr>
            <w:r w:rsidRPr="00240232">
              <w:rPr>
                <w:color w:val="000000"/>
                <w:sz w:val="20"/>
                <w:szCs w:val="20"/>
              </w:rPr>
              <w:t xml:space="preserve">L - identify faster rate using (0-20). M - identify </w:t>
            </w:r>
            <w:proofErr w:type="gramStart"/>
            <w:r w:rsidRPr="00240232">
              <w:rPr>
                <w:color w:val="000000"/>
                <w:sz w:val="20"/>
                <w:szCs w:val="20"/>
              </w:rPr>
              <w:t>slower ,</w:t>
            </w:r>
            <w:proofErr w:type="gramEnd"/>
            <w:r w:rsidRPr="00240232">
              <w:rPr>
                <w:color w:val="000000"/>
                <w:sz w:val="20"/>
                <w:szCs w:val="20"/>
              </w:rPr>
              <w:t xml:space="preserve"> faster, or same rate using  (21-50). H - identify slower, faster, or same rate using (51-100).</w:t>
            </w:r>
          </w:p>
        </w:tc>
      </w:tr>
      <w:tr w:rsidR="00390640" w:rsidRPr="006E0DA9" w:rsidTr="00A93ADF">
        <w:trPr>
          <w:cantSplit/>
          <w:trHeight w:val="300"/>
        </w:trPr>
        <w:tc>
          <w:tcPr>
            <w:tcW w:w="572" w:type="pct"/>
            <w:shd w:val="clear" w:color="auto" w:fill="auto"/>
            <w:vAlign w:val="center"/>
          </w:tcPr>
          <w:p w:rsidR="00390640" w:rsidRPr="00240232" w:rsidRDefault="00390640" w:rsidP="00A93ADF">
            <w:pPr>
              <w:rPr>
                <w:b/>
                <w:color w:val="000000"/>
                <w:sz w:val="20"/>
                <w:szCs w:val="20"/>
              </w:rPr>
            </w:pPr>
            <w:r w:rsidRPr="00240232">
              <w:rPr>
                <w:b/>
                <w:color w:val="000000"/>
                <w:sz w:val="20"/>
                <w:szCs w:val="20"/>
              </w:rPr>
              <w:t>Science</w:t>
            </w:r>
          </w:p>
        </w:tc>
        <w:tc>
          <w:tcPr>
            <w:tcW w:w="564" w:type="pct"/>
            <w:shd w:val="clear" w:color="auto" w:fill="auto"/>
            <w:vAlign w:val="center"/>
          </w:tcPr>
          <w:p w:rsidR="00390640" w:rsidRPr="00240232" w:rsidRDefault="00390640" w:rsidP="00A93ADF">
            <w:pPr>
              <w:rPr>
                <w:color w:val="000000"/>
                <w:sz w:val="20"/>
                <w:szCs w:val="20"/>
              </w:rPr>
            </w:pPr>
            <w:r w:rsidRPr="00240232">
              <w:rPr>
                <w:color w:val="000000"/>
                <w:sz w:val="20"/>
                <w:szCs w:val="20"/>
              </w:rPr>
              <w:t>Energy</w:t>
            </w:r>
          </w:p>
        </w:tc>
        <w:tc>
          <w:tcPr>
            <w:tcW w:w="865" w:type="pct"/>
            <w:shd w:val="clear" w:color="auto" w:fill="auto"/>
            <w:vAlign w:val="center"/>
          </w:tcPr>
          <w:p w:rsidR="00390640" w:rsidRPr="00240232" w:rsidRDefault="00390640" w:rsidP="00A93ADF">
            <w:pPr>
              <w:rPr>
                <w:color w:val="000000"/>
                <w:sz w:val="20"/>
                <w:szCs w:val="20"/>
              </w:rPr>
            </w:pPr>
            <w:r w:rsidRPr="00240232">
              <w:rPr>
                <w:b/>
                <w:color w:val="000000"/>
                <w:sz w:val="20"/>
                <w:szCs w:val="20"/>
              </w:rPr>
              <w:t>NGSS Standard:</w:t>
            </w:r>
            <w:r w:rsidRPr="00240232">
              <w:rPr>
                <w:color w:val="000000"/>
                <w:sz w:val="20"/>
                <w:szCs w:val="20"/>
              </w:rPr>
              <w:t xml:space="preserve"> </w:t>
            </w:r>
          </w:p>
          <w:p w:rsidR="00390640" w:rsidRPr="00240232" w:rsidRDefault="00390640" w:rsidP="00A93ADF">
            <w:pPr>
              <w:rPr>
                <w:color w:val="000000"/>
                <w:sz w:val="20"/>
                <w:szCs w:val="20"/>
              </w:rPr>
            </w:pPr>
            <w:r w:rsidRPr="00240232">
              <w:rPr>
                <w:color w:val="000000"/>
                <w:sz w:val="20"/>
                <w:szCs w:val="20"/>
              </w:rPr>
              <w:t xml:space="preserve">Plan an investigation to determine the relationships among the energy transferred, the type of matter, the mass, and the change in the average kinetic energy of the particles as measured by the temperature of the sample. </w:t>
            </w:r>
          </w:p>
          <w:p w:rsidR="00390640" w:rsidRPr="00240232" w:rsidRDefault="00390640" w:rsidP="00A93ADF">
            <w:pPr>
              <w:rPr>
                <w:color w:val="000000"/>
                <w:sz w:val="20"/>
                <w:szCs w:val="20"/>
              </w:rPr>
            </w:pPr>
          </w:p>
        </w:tc>
        <w:tc>
          <w:tcPr>
            <w:tcW w:w="1038" w:type="pct"/>
            <w:shd w:val="clear" w:color="auto" w:fill="auto"/>
            <w:vAlign w:val="center"/>
          </w:tcPr>
          <w:p w:rsidR="00390640" w:rsidRPr="00240232" w:rsidRDefault="00390640" w:rsidP="00A93ADF">
            <w:pPr>
              <w:rPr>
                <w:b/>
                <w:sz w:val="20"/>
                <w:szCs w:val="20"/>
              </w:rPr>
            </w:pPr>
            <w:r w:rsidRPr="00240232">
              <w:rPr>
                <w:b/>
                <w:sz w:val="20"/>
                <w:szCs w:val="20"/>
              </w:rPr>
              <w:t>OR Science Standards</w:t>
            </w:r>
          </w:p>
          <w:p w:rsidR="00390640" w:rsidRPr="00240232" w:rsidRDefault="00390640" w:rsidP="00A93ADF">
            <w:pPr>
              <w:rPr>
                <w:sz w:val="20"/>
                <w:szCs w:val="20"/>
              </w:rPr>
            </w:pPr>
            <w:r w:rsidRPr="00240232">
              <w:rPr>
                <w:sz w:val="20"/>
                <w:szCs w:val="20"/>
              </w:rPr>
              <w:t>8.2P.2 Explain how energy is transferred, transformed, and conserved.</w:t>
            </w:r>
          </w:p>
          <w:p w:rsidR="00390640" w:rsidRPr="00240232" w:rsidRDefault="00390640" w:rsidP="00A93ADF">
            <w:pPr>
              <w:rPr>
                <w:color w:val="000000"/>
                <w:sz w:val="20"/>
                <w:szCs w:val="20"/>
              </w:rPr>
            </w:pPr>
          </w:p>
        </w:tc>
        <w:tc>
          <w:tcPr>
            <w:tcW w:w="781" w:type="pct"/>
            <w:shd w:val="clear" w:color="auto" w:fill="auto"/>
            <w:vAlign w:val="center"/>
          </w:tcPr>
          <w:p w:rsidR="00390640" w:rsidRPr="00240232" w:rsidRDefault="00390640" w:rsidP="00A93ADF">
            <w:pPr>
              <w:rPr>
                <w:color w:val="000000"/>
                <w:sz w:val="20"/>
                <w:szCs w:val="20"/>
              </w:rPr>
            </w:pPr>
            <w:r w:rsidRPr="00240232">
              <w:rPr>
                <w:color w:val="000000"/>
                <w:sz w:val="20"/>
                <w:szCs w:val="20"/>
              </w:rPr>
              <w:t>Recognize temperature as a measure of how hot or cold matter is, and that heat is transferable.</w:t>
            </w:r>
          </w:p>
        </w:tc>
        <w:tc>
          <w:tcPr>
            <w:tcW w:w="1180" w:type="pct"/>
            <w:shd w:val="clear" w:color="auto" w:fill="auto"/>
            <w:vAlign w:val="center"/>
          </w:tcPr>
          <w:p w:rsidR="00390640" w:rsidRPr="00240232" w:rsidRDefault="00390640" w:rsidP="00A93ADF">
            <w:pPr>
              <w:rPr>
                <w:color w:val="000000"/>
                <w:sz w:val="20"/>
                <w:szCs w:val="20"/>
              </w:rPr>
            </w:pPr>
            <w:r w:rsidRPr="00240232">
              <w:rPr>
                <w:color w:val="000000"/>
                <w:sz w:val="20"/>
                <w:szCs w:val="20"/>
              </w:rPr>
              <w:t>L - Recognize the difference between hot and cold (e.g., objects, outside); M - Recognize that hot and cold are related to measures of temperature, including changes in temperature; H - Identify examples of heat transfer, and how such transfer might be minimized/maximized (e.g., wearing a coat to stay warm).</w:t>
            </w:r>
          </w:p>
        </w:tc>
      </w:tr>
    </w:tbl>
    <w:p w:rsidR="00C7549F" w:rsidRDefault="00390640">
      <w:bookmarkStart w:id="0" w:name="_GoBack"/>
      <w:bookmarkEnd w:id="0"/>
    </w:p>
    <w:sectPr w:rsidR="00C7549F" w:rsidSect="00390640">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40"/>
    <w:rsid w:val="00390640"/>
    <w:rsid w:val="006A7D44"/>
    <w:rsid w:val="00A0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6FED"/>
  <w14:defaultImageDpi w14:val="32767"/>
  <w15:chartTrackingRefBased/>
  <w15:docId w15:val="{71411A6D-FA63-BB40-ACE4-4CF544BF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0640"/>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1786</Characters>
  <Application>Microsoft Office Word</Application>
  <DocSecurity>0</DocSecurity>
  <Lines>14</Lines>
  <Paragraphs>4</Paragraphs>
  <ScaleCrop>false</ScaleCrop>
  <Company>BRT</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Rowley</dc:creator>
  <cp:keywords/>
  <dc:description/>
  <cp:lastModifiedBy>Brock Rowley</cp:lastModifiedBy>
  <cp:revision>1</cp:revision>
  <dcterms:created xsi:type="dcterms:W3CDTF">2018-05-10T18:15:00Z</dcterms:created>
  <dcterms:modified xsi:type="dcterms:W3CDTF">2018-05-10T18:17:00Z</dcterms:modified>
</cp:coreProperties>
</file>