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37" w:rsidRPr="00792635" w:rsidRDefault="00F21237" w:rsidP="00F21237">
      <w:pPr>
        <w:rPr>
          <w:b/>
        </w:rPr>
      </w:pPr>
      <w:r w:rsidRPr="00792635">
        <w:rPr>
          <w:b/>
        </w:rPr>
        <w:t xml:space="preserve">GRADE 5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466"/>
        <w:gridCol w:w="1797"/>
        <w:gridCol w:w="2610"/>
        <w:gridCol w:w="1799"/>
        <w:gridCol w:w="2748"/>
      </w:tblGrid>
      <w:tr w:rsidR="00F21237" w:rsidRPr="00792635" w:rsidTr="00EF6CA3">
        <w:trPr>
          <w:cantSplit/>
          <w:trHeight w:val="300"/>
          <w:tblHeader/>
        </w:trPr>
        <w:tc>
          <w:tcPr>
            <w:tcW w:w="529" w:type="pct"/>
            <w:shd w:val="clear" w:color="auto" w:fill="auto"/>
            <w:vAlign w:val="center"/>
            <w:hideMark/>
          </w:tcPr>
          <w:p w:rsidR="00F21237" w:rsidRPr="00240232" w:rsidRDefault="00F21237" w:rsidP="00A93ADF">
            <w:pPr>
              <w:rPr>
                <w:b/>
                <w:bCs/>
                <w:color w:val="000000"/>
                <w:sz w:val="20"/>
                <w:szCs w:val="20"/>
              </w:rPr>
            </w:pPr>
            <w:r w:rsidRPr="00240232">
              <w:rPr>
                <w:b/>
                <w:bCs/>
                <w:color w:val="000000"/>
                <w:sz w:val="20"/>
                <w:szCs w:val="20"/>
              </w:rPr>
              <w:t xml:space="preserve">Area </w:t>
            </w:r>
          </w:p>
        </w:tc>
        <w:tc>
          <w:tcPr>
            <w:tcW w:w="629" w:type="pct"/>
            <w:shd w:val="clear" w:color="auto" w:fill="auto"/>
            <w:vAlign w:val="center"/>
            <w:hideMark/>
          </w:tcPr>
          <w:p w:rsidR="00F21237" w:rsidRPr="00240232" w:rsidRDefault="00F21237" w:rsidP="00A93ADF">
            <w:pPr>
              <w:rPr>
                <w:b/>
                <w:bCs/>
                <w:color w:val="000000"/>
                <w:sz w:val="20"/>
                <w:szCs w:val="20"/>
              </w:rPr>
            </w:pPr>
            <w:r w:rsidRPr="00240232">
              <w:rPr>
                <w:b/>
                <w:bCs/>
                <w:color w:val="000000"/>
                <w:sz w:val="20"/>
                <w:szCs w:val="20"/>
              </w:rPr>
              <w:t xml:space="preserve">Cluster </w:t>
            </w:r>
          </w:p>
        </w:tc>
        <w:tc>
          <w:tcPr>
            <w:tcW w:w="771" w:type="pct"/>
            <w:shd w:val="clear" w:color="auto" w:fill="auto"/>
            <w:vAlign w:val="center"/>
            <w:hideMark/>
          </w:tcPr>
          <w:p w:rsidR="00F21237" w:rsidRPr="00240232" w:rsidRDefault="00F21237" w:rsidP="00A93ADF">
            <w:pPr>
              <w:rPr>
                <w:b/>
                <w:bCs/>
                <w:color w:val="000000"/>
                <w:sz w:val="20"/>
                <w:szCs w:val="20"/>
              </w:rPr>
            </w:pPr>
            <w:r w:rsidRPr="00240232">
              <w:rPr>
                <w:b/>
                <w:bCs/>
                <w:color w:val="000000"/>
                <w:sz w:val="20"/>
                <w:szCs w:val="20"/>
              </w:rPr>
              <w:t>Standard</w:t>
            </w:r>
          </w:p>
        </w:tc>
        <w:tc>
          <w:tcPr>
            <w:tcW w:w="1120" w:type="pct"/>
            <w:shd w:val="clear" w:color="auto" w:fill="auto"/>
            <w:vAlign w:val="center"/>
            <w:hideMark/>
          </w:tcPr>
          <w:p w:rsidR="00F21237" w:rsidRPr="00240232" w:rsidRDefault="00F21237" w:rsidP="00A93ADF">
            <w:pPr>
              <w:rPr>
                <w:b/>
                <w:bCs/>
                <w:color w:val="000000"/>
                <w:sz w:val="20"/>
                <w:szCs w:val="20"/>
              </w:rPr>
            </w:pPr>
            <w:r w:rsidRPr="00240232">
              <w:rPr>
                <w:b/>
                <w:bCs/>
                <w:color w:val="000000"/>
                <w:sz w:val="20"/>
                <w:szCs w:val="20"/>
              </w:rPr>
              <w:t>Sub-Standard</w:t>
            </w:r>
          </w:p>
        </w:tc>
        <w:tc>
          <w:tcPr>
            <w:tcW w:w="772" w:type="pct"/>
            <w:shd w:val="clear" w:color="auto" w:fill="auto"/>
            <w:vAlign w:val="center"/>
            <w:hideMark/>
          </w:tcPr>
          <w:p w:rsidR="00F21237" w:rsidRPr="00240232" w:rsidRDefault="00F21237" w:rsidP="00A93ADF">
            <w:pPr>
              <w:rPr>
                <w:b/>
                <w:bCs/>
                <w:color w:val="000000"/>
                <w:sz w:val="20"/>
                <w:szCs w:val="20"/>
              </w:rPr>
            </w:pPr>
            <w:r w:rsidRPr="00240232">
              <w:rPr>
                <w:b/>
                <w:bCs/>
                <w:color w:val="000000"/>
                <w:sz w:val="20"/>
                <w:szCs w:val="20"/>
              </w:rPr>
              <w:t>Essential-</w:t>
            </w:r>
            <w:proofErr w:type="spellStart"/>
            <w:r w:rsidRPr="00240232">
              <w:rPr>
                <w:b/>
                <w:bCs/>
                <w:color w:val="000000"/>
                <w:sz w:val="20"/>
                <w:szCs w:val="20"/>
              </w:rPr>
              <w:t>ized</w:t>
            </w:r>
            <w:proofErr w:type="spellEnd"/>
            <w:r w:rsidRPr="00240232">
              <w:rPr>
                <w:b/>
                <w:bCs/>
                <w:color w:val="000000"/>
                <w:sz w:val="20"/>
                <w:szCs w:val="20"/>
              </w:rPr>
              <w:t xml:space="preserve"> Standard</w:t>
            </w:r>
          </w:p>
        </w:tc>
        <w:tc>
          <w:tcPr>
            <w:tcW w:w="1179" w:type="pct"/>
            <w:shd w:val="clear" w:color="auto" w:fill="auto"/>
            <w:vAlign w:val="center"/>
            <w:hideMark/>
          </w:tcPr>
          <w:p w:rsidR="00F21237" w:rsidRPr="00240232" w:rsidRDefault="00F21237" w:rsidP="00A93ADF">
            <w:pPr>
              <w:rPr>
                <w:b/>
                <w:bCs/>
                <w:color w:val="000000"/>
                <w:sz w:val="20"/>
                <w:szCs w:val="20"/>
              </w:rPr>
            </w:pPr>
            <w:r w:rsidRPr="00240232">
              <w:rPr>
                <w:b/>
                <w:bCs/>
                <w:color w:val="000000"/>
                <w:sz w:val="20"/>
                <w:szCs w:val="20"/>
              </w:rPr>
              <w:t>L/M/H Descriptors</w:t>
            </w:r>
          </w:p>
        </w:tc>
      </w:tr>
      <w:tr w:rsidR="00F21237" w:rsidRPr="00792635" w:rsidTr="00EF6CA3">
        <w:trPr>
          <w:cantSplit/>
          <w:trHeight w:val="300"/>
        </w:trPr>
        <w:tc>
          <w:tcPr>
            <w:tcW w:w="529" w:type="pct"/>
            <w:shd w:val="clear" w:color="auto" w:fill="auto"/>
            <w:vAlign w:val="center"/>
            <w:hideMark/>
          </w:tcPr>
          <w:p w:rsidR="00F21237" w:rsidRPr="00240232" w:rsidRDefault="00F21237" w:rsidP="00A93ADF">
            <w:pPr>
              <w:rPr>
                <w:bCs/>
                <w:color w:val="000000"/>
                <w:sz w:val="20"/>
                <w:szCs w:val="20"/>
              </w:rPr>
            </w:pPr>
            <w:r w:rsidRPr="00240232">
              <w:rPr>
                <w:b/>
                <w:bCs/>
                <w:color w:val="000000"/>
                <w:sz w:val="20"/>
                <w:szCs w:val="20"/>
              </w:rPr>
              <w:t>Reading</w:t>
            </w:r>
            <w:r w:rsidRPr="00240232">
              <w:rPr>
                <w:bCs/>
                <w:color w:val="000000"/>
                <w:sz w:val="20"/>
                <w:szCs w:val="20"/>
              </w:rPr>
              <w:t xml:space="preserve"> Standards for Literature K–5</w:t>
            </w:r>
          </w:p>
        </w:tc>
        <w:tc>
          <w:tcPr>
            <w:tcW w:w="629" w:type="pct"/>
            <w:shd w:val="clear" w:color="auto" w:fill="auto"/>
            <w:vAlign w:val="center"/>
            <w:hideMark/>
          </w:tcPr>
          <w:p w:rsidR="00F21237" w:rsidRPr="00240232" w:rsidRDefault="00F21237" w:rsidP="00A93ADF">
            <w:pPr>
              <w:rPr>
                <w:bCs/>
                <w:color w:val="000000"/>
                <w:sz w:val="20"/>
                <w:szCs w:val="20"/>
              </w:rPr>
            </w:pPr>
            <w:r w:rsidRPr="00240232">
              <w:rPr>
                <w:bCs/>
                <w:color w:val="000000"/>
                <w:sz w:val="20"/>
                <w:szCs w:val="20"/>
              </w:rPr>
              <w:t>Key Ideas and Details</w:t>
            </w:r>
          </w:p>
        </w:tc>
        <w:tc>
          <w:tcPr>
            <w:tcW w:w="771" w:type="pct"/>
            <w:shd w:val="clear" w:color="auto" w:fill="auto"/>
            <w:vAlign w:val="center"/>
            <w:hideMark/>
          </w:tcPr>
          <w:p w:rsidR="00F21237" w:rsidRPr="00240232" w:rsidRDefault="00F21237" w:rsidP="00A93ADF">
            <w:pPr>
              <w:rPr>
                <w:bCs/>
                <w:color w:val="000000"/>
                <w:sz w:val="20"/>
                <w:szCs w:val="20"/>
              </w:rPr>
            </w:pPr>
            <w:r w:rsidRPr="00240232">
              <w:rPr>
                <w:bCs/>
                <w:color w:val="000000"/>
                <w:sz w:val="20"/>
                <w:szCs w:val="20"/>
              </w:rPr>
              <w:t>Compare and contrast 2 or more characters, settings, or events in a story or drama, drawing on specific details in the text (e.g., how characters interact).</w:t>
            </w:r>
          </w:p>
        </w:tc>
        <w:tc>
          <w:tcPr>
            <w:tcW w:w="1120" w:type="pct"/>
            <w:shd w:val="clear" w:color="auto" w:fill="auto"/>
            <w:vAlign w:val="center"/>
            <w:hideMark/>
          </w:tcPr>
          <w:p w:rsidR="00F21237" w:rsidRPr="00240232" w:rsidRDefault="00F21237" w:rsidP="00A93ADF">
            <w:pPr>
              <w:rPr>
                <w:bCs/>
                <w:color w:val="000000"/>
                <w:sz w:val="20"/>
                <w:szCs w:val="20"/>
              </w:rPr>
            </w:pPr>
            <w:r w:rsidRPr="00240232">
              <w:rPr>
                <w:bCs/>
                <w:color w:val="000000"/>
                <w:sz w:val="20"/>
                <w:szCs w:val="20"/>
              </w:rPr>
              <w:t>None</w:t>
            </w:r>
          </w:p>
        </w:tc>
        <w:tc>
          <w:tcPr>
            <w:tcW w:w="772" w:type="pct"/>
            <w:shd w:val="clear" w:color="auto" w:fill="auto"/>
            <w:vAlign w:val="center"/>
            <w:hideMark/>
          </w:tcPr>
          <w:p w:rsidR="00F21237" w:rsidRPr="00240232" w:rsidRDefault="00F21237" w:rsidP="00F21237">
            <w:pPr>
              <w:rPr>
                <w:bCs/>
                <w:color w:val="000000"/>
                <w:sz w:val="20"/>
                <w:szCs w:val="20"/>
              </w:rPr>
            </w:pPr>
            <w:r w:rsidRPr="00240232">
              <w:rPr>
                <w:bCs/>
                <w:color w:val="000000"/>
                <w:sz w:val="20"/>
                <w:szCs w:val="20"/>
              </w:rPr>
              <w:t>Identify a character, setting, or event in a story read to student.</w:t>
            </w:r>
          </w:p>
        </w:tc>
        <w:tc>
          <w:tcPr>
            <w:tcW w:w="1179" w:type="pct"/>
            <w:shd w:val="clear" w:color="auto" w:fill="auto"/>
            <w:vAlign w:val="center"/>
            <w:hideMark/>
          </w:tcPr>
          <w:p w:rsidR="00F21237" w:rsidRPr="00240232" w:rsidRDefault="00F21237" w:rsidP="00A93ADF">
            <w:pPr>
              <w:rPr>
                <w:bCs/>
                <w:color w:val="000000"/>
                <w:sz w:val="20"/>
                <w:szCs w:val="20"/>
              </w:rPr>
            </w:pPr>
            <w:r w:rsidRPr="00240232">
              <w:rPr>
                <w:bCs/>
                <w:color w:val="000000"/>
                <w:sz w:val="20"/>
                <w:szCs w:val="20"/>
              </w:rPr>
              <w:t>L - Sentence of 7 words or less that contains 1 character, setting, or event read to student. M - 2 short sentences that contain 1 character, setting, or event read to student. H - 2 medium sentences that contain 1 character, setting, or event read to student.</w:t>
            </w:r>
          </w:p>
        </w:tc>
      </w:tr>
      <w:tr w:rsidR="00F21237" w:rsidRPr="00792635" w:rsidTr="00EF6CA3">
        <w:trPr>
          <w:cantSplit/>
          <w:trHeight w:val="300"/>
        </w:trPr>
        <w:tc>
          <w:tcPr>
            <w:tcW w:w="529" w:type="pct"/>
            <w:shd w:val="clear" w:color="auto" w:fill="auto"/>
            <w:vAlign w:val="center"/>
          </w:tcPr>
          <w:p w:rsidR="00F21237" w:rsidRPr="00240232" w:rsidRDefault="00F21237" w:rsidP="00A93ADF">
            <w:pPr>
              <w:rPr>
                <w:b/>
                <w:bCs/>
                <w:color w:val="000000"/>
                <w:sz w:val="20"/>
                <w:szCs w:val="20"/>
              </w:rPr>
            </w:pPr>
            <w:r w:rsidRPr="00240232">
              <w:rPr>
                <w:b/>
                <w:color w:val="000000"/>
                <w:sz w:val="20"/>
                <w:szCs w:val="20"/>
              </w:rPr>
              <w:t>Math</w:t>
            </w:r>
          </w:p>
        </w:tc>
        <w:tc>
          <w:tcPr>
            <w:tcW w:w="629" w:type="pct"/>
            <w:shd w:val="clear" w:color="auto" w:fill="auto"/>
            <w:vAlign w:val="center"/>
          </w:tcPr>
          <w:p w:rsidR="00F21237" w:rsidRPr="00240232" w:rsidRDefault="00F21237" w:rsidP="00F21237">
            <w:pPr>
              <w:rPr>
                <w:b/>
                <w:bCs/>
                <w:color w:val="000000"/>
                <w:sz w:val="20"/>
                <w:szCs w:val="20"/>
              </w:rPr>
            </w:pPr>
            <w:r w:rsidRPr="00240232">
              <w:rPr>
                <w:color w:val="000000"/>
                <w:sz w:val="20"/>
                <w:szCs w:val="20"/>
              </w:rPr>
              <w:t>Number &amp; Operations in Base Ten</w:t>
            </w:r>
          </w:p>
        </w:tc>
        <w:tc>
          <w:tcPr>
            <w:tcW w:w="771" w:type="pct"/>
            <w:shd w:val="clear" w:color="auto" w:fill="auto"/>
            <w:vAlign w:val="center"/>
          </w:tcPr>
          <w:p w:rsidR="00F21237" w:rsidRPr="00240232" w:rsidRDefault="00F21237" w:rsidP="00A93ADF">
            <w:pPr>
              <w:rPr>
                <w:b/>
                <w:bCs/>
                <w:color w:val="000000"/>
                <w:sz w:val="20"/>
                <w:szCs w:val="20"/>
              </w:rPr>
            </w:pPr>
            <w:r w:rsidRPr="00240232">
              <w:rPr>
                <w:color w:val="000000"/>
                <w:sz w:val="20"/>
                <w:szCs w:val="20"/>
              </w:rPr>
              <w:t>Understand the place value system.</w:t>
            </w:r>
          </w:p>
        </w:tc>
        <w:tc>
          <w:tcPr>
            <w:tcW w:w="1120" w:type="pct"/>
            <w:shd w:val="clear" w:color="auto" w:fill="auto"/>
            <w:vAlign w:val="center"/>
          </w:tcPr>
          <w:p w:rsidR="00F21237" w:rsidRPr="00240232" w:rsidRDefault="00F21237" w:rsidP="00A93ADF">
            <w:pPr>
              <w:rPr>
                <w:b/>
                <w:bCs/>
                <w:color w:val="000000"/>
                <w:sz w:val="20"/>
                <w:szCs w:val="20"/>
              </w:rPr>
            </w:pPr>
            <w:r w:rsidRPr="00240232">
              <w:rPr>
                <w:color w:val="000000"/>
                <w:sz w:val="20"/>
                <w:szCs w:val="20"/>
              </w:rPr>
              <w:t xml:space="preserve">Recognize that in a multi-digit number, a digit in one place represents 10 times as much as it represents in the place to its right and 1/10 of what it represents in the place to its left. </w:t>
            </w:r>
          </w:p>
        </w:tc>
        <w:tc>
          <w:tcPr>
            <w:tcW w:w="772" w:type="pct"/>
            <w:shd w:val="clear" w:color="auto" w:fill="auto"/>
          </w:tcPr>
          <w:p w:rsidR="00F21237" w:rsidRPr="00240232" w:rsidRDefault="00F21237" w:rsidP="00F21237">
            <w:pPr>
              <w:rPr>
                <w:b/>
                <w:bCs/>
                <w:color w:val="000000"/>
                <w:sz w:val="20"/>
                <w:szCs w:val="20"/>
              </w:rPr>
            </w:pPr>
            <w:r w:rsidRPr="00240232">
              <w:rPr>
                <w:color w:val="000000"/>
                <w:sz w:val="20"/>
                <w:szCs w:val="20"/>
              </w:rPr>
              <w:t xml:space="preserve">Use place value to compare numbers that are multiples of 10 and </w:t>
            </w:r>
            <w:proofErr w:type="gramStart"/>
            <w:r w:rsidRPr="00240232">
              <w:rPr>
                <w:color w:val="000000"/>
                <w:sz w:val="20"/>
                <w:szCs w:val="20"/>
              </w:rPr>
              <w:t>ones'</w:t>
            </w:r>
            <w:proofErr w:type="gramEnd"/>
            <w:r w:rsidRPr="00240232">
              <w:rPr>
                <w:color w:val="000000"/>
                <w:sz w:val="20"/>
                <w:szCs w:val="20"/>
              </w:rPr>
              <w:t xml:space="preserve"> versus tens' place and .5.</w:t>
            </w:r>
          </w:p>
        </w:tc>
        <w:tc>
          <w:tcPr>
            <w:tcW w:w="1179" w:type="pct"/>
            <w:shd w:val="clear" w:color="auto" w:fill="auto"/>
            <w:vAlign w:val="center"/>
          </w:tcPr>
          <w:p w:rsidR="00F21237" w:rsidRPr="00240232" w:rsidRDefault="00F21237" w:rsidP="00A93ADF">
            <w:pPr>
              <w:rPr>
                <w:b/>
                <w:bCs/>
                <w:color w:val="000000"/>
                <w:sz w:val="20"/>
                <w:szCs w:val="20"/>
              </w:rPr>
            </w:pPr>
            <w:r w:rsidRPr="00240232">
              <w:rPr>
                <w:color w:val="000000"/>
                <w:sz w:val="20"/>
                <w:szCs w:val="20"/>
              </w:rPr>
              <w:t>L - identify multiples of 10: 10, 20, 30, 40, 50, 60. M - identify the relation between the place values for the double-digit numbers 11, 22, 33, 44, 55. H - identify which number is in the ten's place and one's place.</w:t>
            </w:r>
          </w:p>
        </w:tc>
      </w:tr>
      <w:tr w:rsidR="00F21237" w:rsidRPr="00240232" w:rsidTr="00EF6CA3">
        <w:trPr>
          <w:cantSplit/>
          <w:trHeight w:val="300"/>
        </w:trPr>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rsidR="00F21237" w:rsidRPr="00240232" w:rsidRDefault="00F21237" w:rsidP="00A93ADF">
            <w:pPr>
              <w:rPr>
                <w:b/>
                <w:color w:val="000000"/>
                <w:sz w:val="20"/>
                <w:szCs w:val="20"/>
              </w:rPr>
            </w:pPr>
            <w:r w:rsidRPr="00240232">
              <w:rPr>
                <w:b/>
                <w:color w:val="000000"/>
                <w:sz w:val="20"/>
                <w:szCs w:val="20"/>
              </w:rPr>
              <w:t>Science*</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rsidR="00F21237" w:rsidRPr="00240232" w:rsidRDefault="00F21237" w:rsidP="00F21237">
            <w:pPr>
              <w:rPr>
                <w:color w:val="000000"/>
                <w:sz w:val="20"/>
                <w:szCs w:val="20"/>
              </w:rPr>
            </w:pPr>
            <w:r w:rsidRPr="00240232">
              <w:rPr>
                <w:color w:val="000000"/>
                <w:sz w:val="20"/>
                <w:szCs w:val="20"/>
              </w:rPr>
              <w:t>Matter and Its Interactions</w:t>
            </w:r>
          </w:p>
        </w:tc>
        <w:tc>
          <w:tcPr>
            <w:tcW w:w="771" w:type="pct"/>
            <w:tcBorders>
              <w:top w:val="single" w:sz="4" w:space="0" w:color="auto"/>
              <w:left w:val="single" w:sz="4" w:space="0" w:color="auto"/>
              <w:bottom w:val="single" w:sz="4" w:space="0" w:color="auto"/>
              <w:right w:val="single" w:sz="4" w:space="0" w:color="auto"/>
            </w:tcBorders>
            <w:shd w:val="clear" w:color="auto" w:fill="auto"/>
            <w:vAlign w:val="center"/>
          </w:tcPr>
          <w:p w:rsidR="00F21237" w:rsidRPr="00F21237" w:rsidRDefault="00F21237" w:rsidP="00F21237">
            <w:pPr>
              <w:rPr>
                <w:color w:val="000000"/>
                <w:sz w:val="20"/>
                <w:szCs w:val="20"/>
              </w:rPr>
            </w:pPr>
            <w:r w:rsidRPr="00F21237">
              <w:rPr>
                <w:color w:val="000000"/>
                <w:sz w:val="20"/>
                <w:szCs w:val="20"/>
              </w:rPr>
              <w:t>NGSS Standard:</w:t>
            </w:r>
          </w:p>
          <w:p w:rsidR="00F21237" w:rsidRPr="00240232" w:rsidRDefault="00F21237" w:rsidP="00F21237">
            <w:pPr>
              <w:rPr>
                <w:color w:val="000000"/>
                <w:sz w:val="20"/>
                <w:szCs w:val="20"/>
              </w:rPr>
            </w:pPr>
            <w:r w:rsidRPr="00240232">
              <w:rPr>
                <w:color w:val="000000"/>
                <w:sz w:val="20"/>
                <w:szCs w:val="20"/>
              </w:rPr>
              <w:t>Measure and graph quantities to provide evidence that regardless of the type of change that occurs when heating, cooling, or mixing substances, the total weight of matter is conserved.</w:t>
            </w:r>
          </w:p>
          <w:p w:rsidR="00F21237" w:rsidRPr="00240232" w:rsidRDefault="00F21237" w:rsidP="00F21237">
            <w:pPr>
              <w:rPr>
                <w:color w:val="000000"/>
                <w:sz w:val="20"/>
                <w:szCs w:val="20"/>
              </w:rPr>
            </w:pPr>
          </w:p>
        </w:tc>
        <w:tc>
          <w:tcPr>
            <w:tcW w:w="1120" w:type="pct"/>
            <w:tcBorders>
              <w:top w:val="single" w:sz="4" w:space="0" w:color="auto"/>
              <w:left w:val="single" w:sz="4" w:space="0" w:color="auto"/>
              <w:bottom w:val="single" w:sz="4" w:space="0" w:color="auto"/>
              <w:right w:val="single" w:sz="4" w:space="0" w:color="auto"/>
            </w:tcBorders>
            <w:shd w:val="clear" w:color="auto" w:fill="auto"/>
            <w:vAlign w:val="center"/>
          </w:tcPr>
          <w:p w:rsidR="00F21237" w:rsidRPr="00F21237" w:rsidRDefault="00F21237" w:rsidP="00A93ADF">
            <w:pPr>
              <w:rPr>
                <w:color w:val="000000"/>
                <w:sz w:val="20"/>
                <w:szCs w:val="20"/>
              </w:rPr>
            </w:pPr>
            <w:r w:rsidRPr="00F21237">
              <w:rPr>
                <w:color w:val="000000"/>
                <w:sz w:val="20"/>
                <w:szCs w:val="20"/>
              </w:rPr>
              <w:t>OR Science Standards:</w:t>
            </w:r>
          </w:p>
          <w:p w:rsidR="00F21237" w:rsidRPr="00240232" w:rsidRDefault="00F21237" w:rsidP="00A93ADF">
            <w:pPr>
              <w:rPr>
                <w:color w:val="000000"/>
                <w:sz w:val="20"/>
                <w:szCs w:val="20"/>
              </w:rPr>
            </w:pPr>
            <w:r w:rsidRPr="00F21237">
              <w:rPr>
                <w:color w:val="000000"/>
                <w:sz w:val="20"/>
                <w:szCs w:val="20"/>
              </w:rPr>
              <w:t>5.3S.1 Based on observations and science principles, identify questions that can be tested, design an experiment or investigation, and identify appropriate tools. Collect and record multiple observations while conducting investigations or experiments to test a scientific question or hypothesis.</w:t>
            </w:r>
            <w:r w:rsidRPr="00F21237">
              <w:rPr>
                <w:color w:val="000000"/>
                <w:sz w:val="20"/>
                <w:szCs w:val="20"/>
              </w:rPr>
              <w:br/>
              <w:t>5.3S.2 Identify patterns in data that support a reasonable explanation for the results of an investigation or experiment and communicate findings using graphs, charts, maps, models, and oral and written reports.</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tcPr>
          <w:p w:rsidR="00F21237" w:rsidRPr="00240232" w:rsidRDefault="00F21237" w:rsidP="00F21237">
            <w:pPr>
              <w:rPr>
                <w:color w:val="000000"/>
                <w:sz w:val="20"/>
                <w:szCs w:val="20"/>
              </w:rPr>
            </w:pPr>
            <w:r w:rsidRPr="00240232">
              <w:rPr>
                <w:color w:val="000000"/>
                <w:sz w:val="20"/>
                <w:szCs w:val="20"/>
              </w:rPr>
              <w:t>Measure and/or compare the weight of different types of matter.</w:t>
            </w:r>
          </w:p>
        </w:tc>
        <w:tc>
          <w:tcPr>
            <w:tcW w:w="1179" w:type="pct"/>
            <w:tcBorders>
              <w:top w:val="single" w:sz="4" w:space="0" w:color="auto"/>
              <w:left w:val="single" w:sz="4" w:space="0" w:color="auto"/>
              <w:bottom w:val="single" w:sz="4" w:space="0" w:color="auto"/>
              <w:right w:val="single" w:sz="4" w:space="0" w:color="auto"/>
            </w:tcBorders>
            <w:shd w:val="clear" w:color="auto" w:fill="auto"/>
          </w:tcPr>
          <w:p w:rsidR="00F21237" w:rsidRPr="00240232" w:rsidRDefault="00F21237" w:rsidP="00F21237">
            <w:pPr>
              <w:rPr>
                <w:color w:val="000000"/>
                <w:sz w:val="20"/>
                <w:szCs w:val="20"/>
              </w:rPr>
            </w:pPr>
            <w:r w:rsidRPr="00240232">
              <w:rPr>
                <w:color w:val="000000"/>
                <w:sz w:val="20"/>
                <w:szCs w:val="20"/>
              </w:rPr>
              <w:t>L - Measure the weight/mass of common objects in various phases of matter using pictures of such objects (i.e., an object on a scale that weighs 3 pounds); M - Compare the weight/mass of common objects in various stages of matter using pictures of such objects (e.g., a balloon weighs less than a rock or glass of water) - Choose the correct tool to measure the weight/mass of objects; H - Compare the weight/mass of common objects in various phases of matter using graphs and data.</w:t>
            </w:r>
          </w:p>
        </w:tc>
      </w:tr>
    </w:tbl>
    <w:p w:rsidR="00EF6CA3" w:rsidRDefault="00EF6CA3" w:rsidP="00EF6CA3">
      <w:r w:rsidRPr="001A0516">
        <w:rPr>
          <w:i/>
        </w:rPr>
        <w:t>Note.</w:t>
      </w:r>
      <w:r>
        <w:t xml:space="preserve"> The science essentialized standards are dually-linked to both NGSS and Oregon Science standards, respectively. Both general education standards are thus listed for science in these EAF tables.</w:t>
      </w:r>
    </w:p>
    <w:p w:rsidR="00C7549F" w:rsidRDefault="00EF6CA3">
      <w:bookmarkStart w:id="0" w:name="_GoBack"/>
      <w:bookmarkEnd w:id="0"/>
    </w:p>
    <w:sectPr w:rsidR="00C7549F" w:rsidSect="00F2123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37"/>
    <w:rsid w:val="006A7D44"/>
    <w:rsid w:val="00A0434C"/>
    <w:rsid w:val="00DD4107"/>
    <w:rsid w:val="00EF6CA3"/>
    <w:rsid w:val="00F2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32A370C-644D-C643-95E0-DE6A2FC1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1237"/>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BRT</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Rowley</dc:creator>
  <cp:keywords/>
  <dc:description/>
  <cp:lastModifiedBy>Brock Rowley</cp:lastModifiedBy>
  <cp:revision>2</cp:revision>
  <dcterms:created xsi:type="dcterms:W3CDTF">2018-05-10T18:01:00Z</dcterms:created>
  <dcterms:modified xsi:type="dcterms:W3CDTF">2018-05-10T18:26:00Z</dcterms:modified>
</cp:coreProperties>
</file>