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8263D" w14:textId="6C5B4CDD" w:rsidR="00C7549F" w:rsidRPr="002D5952" w:rsidRDefault="004C79CC" w:rsidP="00972F20">
      <w:pPr>
        <w:jc w:val="center"/>
        <w:rPr>
          <w:rFonts w:ascii="Times" w:hAnsi="Times"/>
          <w:b/>
          <w:sz w:val="32"/>
          <w:szCs w:val="32"/>
        </w:rPr>
      </w:pPr>
      <w:r w:rsidRPr="002D5952">
        <w:rPr>
          <w:rFonts w:ascii="Times" w:hAnsi="Times"/>
          <w:b/>
          <w:sz w:val="32"/>
          <w:szCs w:val="32"/>
        </w:rPr>
        <w:t>Int</w:t>
      </w:r>
      <w:r w:rsidR="00972F20" w:rsidRPr="002D5952">
        <w:rPr>
          <w:rFonts w:ascii="Times" w:hAnsi="Times"/>
          <w:b/>
          <w:sz w:val="32"/>
          <w:szCs w:val="32"/>
        </w:rPr>
        <w:t>er-Rater-Reliability</w:t>
      </w:r>
    </w:p>
    <w:p w14:paraId="055DE8E9" w14:textId="7EBCE930" w:rsidR="00BE14A8" w:rsidRPr="00A459F4" w:rsidRDefault="00BE14A8" w:rsidP="00CB3320">
      <w:pPr>
        <w:rPr>
          <w:rFonts w:ascii="Times" w:hAnsi="Times"/>
          <w:b/>
        </w:rPr>
      </w:pPr>
      <w:r w:rsidRPr="00A459F4">
        <w:rPr>
          <w:rFonts w:ascii="Times" w:hAnsi="Times"/>
          <w:b/>
        </w:rPr>
        <w:t>Background</w:t>
      </w:r>
    </w:p>
    <w:p w14:paraId="5332B193" w14:textId="32518602" w:rsidR="00A459F4" w:rsidRDefault="004F1A66" w:rsidP="00CF5268">
      <w:pPr>
        <w:rPr>
          <w:rFonts w:ascii="Times" w:hAnsi="Times"/>
        </w:rPr>
      </w:pPr>
      <w:r w:rsidRPr="002D5952">
        <w:rPr>
          <w:rFonts w:ascii="Times" w:hAnsi="Times"/>
        </w:rPr>
        <w:t xml:space="preserve">ODE’s technical documentation plan (see page </w:t>
      </w:r>
      <w:r w:rsidR="007D39A0" w:rsidRPr="002D5952">
        <w:rPr>
          <w:rFonts w:ascii="Times" w:hAnsi="Times"/>
        </w:rPr>
        <w:t>136</w:t>
      </w:r>
      <w:r w:rsidRPr="002D5952">
        <w:rPr>
          <w:rFonts w:ascii="Times" w:hAnsi="Times"/>
        </w:rPr>
        <w:t xml:space="preserve"> in th</w:t>
      </w:r>
      <w:r w:rsidR="007D39A0" w:rsidRPr="002D5952">
        <w:rPr>
          <w:rFonts w:ascii="Times" w:hAnsi="Times"/>
        </w:rPr>
        <w:t xml:space="preserve">e 2016-17 </w:t>
      </w:r>
      <w:r w:rsidRPr="002D5952">
        <w:rPr>
          <w:rFonts w:ascii="Times" w:hAnsi="Times"/>
        </w:rPr>
        <w:t xml:space="preserve">Technical Report), included an </w:t>
      </w:r>
      <w:r w:rsidR="0042013D" w:rsidRPr="002D5952">
        <w:rPr>
          <w:rFonts w:ascii="Times" w:hAnsi="Times"/>
        </w:rPr>
        <w:t>I</w:t>
      </w:r>
      <w:r w:rsidRPr="002D5952">
        <w:rPr>
          <w:rFonts w:ascii="Times" w:hAnsi="Times"/>
        </w:rPr>
        <w:t>nter-</w:t>
      </w:r>
      <w:r w:rsidR="0042013D" w:rsidRPr="002D5952">
        <w:rPr>
          <w:rFonts w:ascii="Times" w:hAnsi="Times"/>
        </w:rPr>
        <w:t>R</w:t>
      </w:r>
      <w:r w:rsidRPr="002D5952">
        <w:rPr>
          <w:rFonts w:ascii="Times" w:hAnsi="Times"/>
        </w:rPr>
        <w:t xml:space="preserve">ater </w:t>
      </w:r>
      <w:r w:rsidR="0042013D" w:rsidRPr="002D5952">
        <w:rPr>
          <w:rFonts w:ascii="Times" w:hAnsi="Times"/>
        </w:rPr>
        <w:t>R</w:t>
      </w:r>
      <w:r w:rsidRPr="002D5952">
        <w:rPr>
          <w:rFonts w:ascii="Times" w:hAnsi="Times"/>
        </w:rPr>
        <w:t xml:space="preserve">eliability </w:t>
      </w:r>
      <w:r w:rsidR="0042013D" w:rsidRPr="002D5952">
        <w:rPr>
          <w:rFonts w:ascii="Times" w:hAnsi="Times"/>
        </w:rPr>
        <w:t xml:space="preserve">(IRR) </w:t>
      </w:r>
      <w:r w:rsidRPr="002D5952">
        <w:rPr>
          <w:rFonts w:ascii="Times" w:hAnsi="Times"/>
        </w:rPr>
        <w:t>st</w:t>
      </w:r>
      <w:r w:rsidR="0042013D" w:rsidRPr="002D5952">
        <w:rPr>
          <w:rFonts w:ascii="Times" w:hAnsi="Times"/>
        </w:rPr>
        <w:t>udy for the 2017-18 school year.</w:t>
      </w:r>
      <w:r w:rsidRPr="002D5952">
        <w:rPr>
          <w:rFonts w:ascii="Times" w:hAnsi="Times"/>
        </w:rPr>
        <w:t xml:space="preserve"> </w:t>
      </w:r>
      <w:r w:rsidR="0042013D" w:rsidRPr="002D5952">
        <w:rPr>
          <w:rFonts w:ascii="Times" w:hAnsi="Times"/>
        </w:rPr>
        <w:t>P</w:t>
      </w:r>
      <w:r w:rsidRPr="002D5952">
        <w:rPr>
          <w:rFonts w:ascii="Times" w:hAnsi="Times"/>
        </w:rPr>
        <w:t xml:space="preserve">ursuant to </w:t>
      </w:r>
      <w:proofErr w:type="spellStart"/>
      <w:r w:rsidR="0042013D" w:rsidRPr="002D5952">
        <w:rPr>
          <w:rFonts w:ascii="Times" w:eastAsia="Times New Roman" w:hAnsi="Times" w:cs="Arial"/>
          <w:color w:val="303030"/>
          <w:shd w:val="clear" w:color="auto" w:fill="FFFFFF"/>
        </w:rPr>
        <w:t>Hallgren</w:t>
      </w:r>
      <w:proofErr w:type="spellEnd"/>
      <w:r w:rsidR="0042013D" w:rsidRPr="002D5952">
        <w:rPr>
          <w:rFonts w:ascii="Times" w:eastAsia="Times New Roman" w:hAnsi="Times" w:cs="Arial"/>
          <w:color w:val="303030"/>
          <w:shd w:val="clear" w:color="auto" w:fill="FFFFFF"/>
        </w:rPr>
        <w:t>, K. A. (2012)</w:t>
      </w:r>
      <w:r w:rsidR="002D5952" w:rsidRPr="002D5952">
        <w:rPr>
          <w:rFonts w:ascii="Times" w:hAnsi="Times"/>
          <w:color w:val="000000"/>
          <w:shd w:val="clear" w:color="auto" w:fill="FFFFFF"/>
        </w:rPr>
        <w:t xml:space="preserve"> the assessment of IRR may be necessary </w:t>
      </w:r>
      <w:r w:rsidR="002D5952" w:rsidRPr="002D5952">
        <w:rPr>
          <w:rFonts w:ascii="Times" w:eastAsia="Times New Roman" w:hAnsi="Times" w:cs="Times New Roman"/>
          <w:color w:val="000000"/>
          <w:shd w:val="clear" w:color="auto" w:fill="FFFFFF"/>
        </w:rPr>
        <w:t>to demonstrate consistency among observational ratings provided by multiple assessors.</w:t>
      </w:r>
      <w:r w:rsidR="002D5952">
        <w:rPr>
          <w:rFonts w:ascii="Times New Roman" w:eastAsia="Times New Roman" w:hAnsi="Times New Roman" w:cs="Times New Roman"/>
          <w:color w:val="000000"/>
          <w:shd w:val="clear" w:color="auto" w:fill="FFFFFF"/>
        </w:rPr>
        <w:t xml:space="preserve"> </w:t>
      </w:r>
      <w:r w:rsidRPr="00D14831">
        <w:rPr>
          <w:rFonts w:ascii="Times" w:hAnsi="Times"/>
        </w:rPr>
        <w:t xml:space="preserve">The results of the study will be used to address the requirements within the USED’s Peer Review process (Critical Element 4.1). </w:t>
      </w:r>
      <w:r w:rsidR="00CF5268" w:rsidRPr="00D14831">
        <w:rPr>
          <w:rFonts w:ascii="Times" w:hAnsi="Times"/>
        </w:rPr>
        <w:t xml:space="preserve">A sample of Oregon’s Qualified Assessors (QAs) who administer the paper/pencil version of the Oregon Extended Assessment (ORExt) were observed to determine reliability of administration and scoring. We did </w:t>
      </w:r>
      <w:r w:rsidR="00CF5268" w:rsidRPr="00D14831">
        <w:rPr>
          <w:rFonts w:ascii="Times" w:hAnsi="Times"/>
          <w:u w:val="single"/>
        </w:rPr>
        <w:t>not</w:t>
      </w:r>
      <w:r w:rsidR="00CF5268" w:rsidRPr="00D14831">
        <w:rPr>
          <w:rFonts w:ascii="Times" w:hAnsi="Times"/>
        </w:rPr>
        <w:t xml:space="preserve"> include the tablet administration or the Oregon Observational Rating </w:t>
      </w:r>
    </w:p>
    <w:p w14:paraId="5AD33150" w14:textId="77777777" w:rsidR="00A459F4" w:rsidRPr="00A459F4" w:rsidRDefault="00A459F4" w:rsidP="00A459F4">
      <w:pPr>
        <w:rPr>
          <w:rFonts w:ascii="Times" w:hAnsi="Times"/>
          <w:b/>
        </w:rPr>
      </w:pPr>
      <w:r w:rsidRPr="00A459F4">
        <w:rPr>
          <w:rFonts w:ascii="Times" w:hAnsi="Times"/>
          <w:b/>
        </w:rPr>
        <w:t>Methods</w:t>
      </w:r>
    </w:p>
    <w:p w14:paraId="7317ACE4" w14:textId="1C8F00E6" w:rsidR="00A459F4" w:rsidRDefault="00845615" w:rsidP="00A459F4">
      <w:pPr>
        <w:rPr>
          <w:rFonts w:ascii="Times" w:hAnsi="Times"/>
        </w:rPr>
      </w:pPr>
      <w:bookmarkStart w:id="0" w:name="_GoBack"/>
      <w:bookmarkEnd w:id="0"/>
      <w:r w:rsidRPr="00D14831">
        <w:rPr>
          <w:rFonts w:ascii="Times" w:hAnsi="Times"/>
        </w:rPr>
        <w:t>QTs in districts across the state observed a sample of their respective QAs using the observation protocol and enter their data online</w:t>
      </w:r>
      <w:r>
        <w:rPr>
          <w:rFonts w:ascii="Times" w:hAnsi="Times"/>
        </w:rPr>
        <w:t xml:space="preserve">. </w:t>
      </w:r>
      <w:r w:rsidR="00A459F4">
        <w:rPr>
          <w:rFonts w:ascii="Times" w:hAnsi="Times"/>
        </w:rPr>
        <w:t xml:space="preserve">The QA reads the item stem and the student selects from three possible answer choices (A, B, or C) then, the QA records the answer choice. QTs </w:t>
      </w:r>
      <w:r w:rsidR="00A459F4">
        <w:rPr>
          <w:rFonts w:ascii="Times" w:hAnsi="Times"/>
        </w:rPr>
        <w:t xml:space="preserve">(observer) </w:t>
      </w:r>
      <w:r w:rsidR="00A459F4">
        <w:rPr>
          <w:rFonts w:ascii="Times" w:hAnsi="Times"/>
        </w:rPr>
        <w:t>record</w:t>
      </w:r>
      <w:r w:rsidR="00A459F4">
        <w:rPr>
          <w:rFonts w:ascii="Times" w:hAnsi="Times"/>
        </w:rPr>
        <w:t>s</w:t>
      </w:r>
      <w:r w:rsidR="00A459F4">
        <w:rPr>
          <w:rFonts w:ascii="Times" w:hAnsi="Times"/>
        </w:rPr>
        <w:t xml:space="preserve"> the students answer choice, then record</w:t>
      </w:r>
      <w:r w:rsidR="00634FEC">
        <w:rPr>
          <w:rFonts w:ascii="Times" w:hAnsi="Times"/>
        </w:rPr>
        <w:t>s</w:t>
      </w:r>
      <w:r w:rsidR="00A459F4">
        <w:rPr>
          <w:rFonts w:ascii="Times" w:hAnsi="Times"/>
        </w:rPr>
        <w:t xml:space="preserve"> the answer choice recorded by the QA for agreement. </w:t>
      </w:r>
      <w:r w:rsidR="00634FEC">
        <w:rPr>
          <w:rFonts w:ascii="Times" w:hAnsi="Times"/>
        </w:rPr>
        <w:t xml:space="preserve">Only the English Language Arts Writing porting of the ORExt requires any additional analysis by the assessor to determine if the answer meets (1) or doesn’t meet (0). </w:t>
      </w:r>
      <w:r w:rsidR="00A459F4">
        <w:rPr>
          <w:rFonts w:ascii="Times" w:hAnsi="Times"/>
        </w:rPr>
        <w:t xml:space="preserve">Districts from across the state of Oregon participated in the study, matching the state’s </w:t>
      </w:r>
      <w:r w:rsidR="00634FEC">
        <w:rPr>
          <w:rFonts w:ascii="Times" w:hAnsi="Times"/>
        </w:rPr>
        <w:t xml:space="preserve">student population </w:t>
      </w:r>
      <w:r w:rsidR="00A459F4">
        <w:rPr>
          <w:rFonts w:ascii="Times" w:hAnsi="Times"/>
        </w:rPr>
        <w:t xml:space="preserve">demographics, </w:t>
      </w:r>
      <w:r>
        <w:rPr>
          <w:rFonts w:ascii="Times" w:hAnsi="Times"/>
        </w:rPr>
        <w:t xml:space="preserve">including </w:t>
      </w:r>
      <w:r w:rsidR="00A459F4">
        <w:rPr>
          <w:rFonts w:ascii="Times" w:hAnsi="Times"/>
        </w:rPr>
        <w:t xml:space="preserve">large, medium, </w:t>
      </w:r>
      <w:r>
        <w:rPr>
          <w:rFonts w:ascii="Times" w:hAnsi="Times"/>
        </w:rPr>
        <w:t xml:space="preserve">and </w:t>
      </w:r>
      <w:r w:rsidR="00A459F4">
        <w:rPr>
          <w:rFonts w:ascii="Times" w:hAnsi="Times"/>
        </w:rPr>
        <w:t>small</w:t>
      </w:r>
      <w:r>
        <w:rPr>
          <w:rFonts w:ascii="Times" w:hAnsi="Times"/>
        </w:rPr>
        <w:t xml:space="preserve"> districts</w:t>
      </w:r>
      <w:r w:rsidR="00A459F4">
        <w:rPr>
          <w:rFonts w:ascii="Times" w:hAnsi="Times"/>
        </w:rPr>
        <w:t>, across all region</w:t>
      </w:r>
      <w:r>
        <w:rPr>
          <w:rFonts w:ascii="Times" w:hAnsi="Times"/>
        </w:rPr>
        <w:t>s</w:t>
      </w:r>
      <w:r w:rsidR="00A459F4">
        <w:rPr>
          <w:rFonts w:ascii="Times" w:hAnsi="Times"/>
        </w:rPr>
        <w:t>.</w:t>
      </w:r>
    </w:p>
    <w:p w14:paraId="4FD8639B" w14:textId="7A7286C5" w:rsidR="00D14831" w:rsidRDefault="00CF5268" w:rsidP="00CF5268">
      <w:pPr>
        <w:rPr>
          <w:rFonts w:ascii="Times" w:hAnsi="Times"/>
        </w:rPr>
      </w:pPr>
      <w:r w:rsidRPr="00D14831">
        <w:rPr>
          <w:rFonts w:ascii="Times" w:hAnsi="Times"/>
        </w:rPr>
        <w:t>The observation protocol was completed for the identified QA, but the student(s) and content area(s) observed were selected by the QT or QA. BRT researchers contact</w:t>
      </w:r>
      <w:r w:rsidR="00D14831" w:rsidRPr="00D14831">
        <w:rPr>
          <w:rFonts w:ascii="Times" w:hAnsi="Times"/>
        </w:rPr>
        <w:t>ed</w:t>
      </w:r>
      <w:r w:rsidRPr="00D14831">
        <w:rPr>
          <w:rFonts w:ascii="Times" w:hAnsi="Times"/>
        </w:rPr>
        <w:t xml:space="preserve"> district-level QTs </w:t>
      </w:r>
      <w:r w:rsidR="00D14831" w:rsidRPr="00D14831">
        <w:rPr>
          <w:rFonts w:ascii="Times" w:hAnsi="Times"/>
        </w:rPr>
        <w:t>at the beginning</w:t>
      </w:r>
      <w:r w:rsidRPr="00D14831">
        <w:rPr>
          <w:rFonts w:ascii="Times" w:hAnsi="Times"/>
        </w:rPr>
        <w:t xml:space="preserve"> of the test window, which runs from February 15 - April 26, 2018, to arrange observations that c</w:t>
      </w:r>
      <w:r w:rsidR="00D14831" w:rsidRPr="00D14831">
        <w:rPr>
          <w:rFonts w:ascii="Times" w:hAnsi="Times"/>
        </w:rPr>
        <w:t>ould</w:t>
      </w:r>
      <w:r w:rsidRPr="00D14831">
        <w:rPr>
          <w:rFonts w:ascii="Times" w:hAnsi="Times"/>
        </w:rPr>
        <w:t xml:space="preserve"> hopefully be completed within one school day.</w:t>
      </w:r>
      <w:r w:rsidR="00D14831" w:rsidRPr="00D14831">
        <w:rPr>
          <w:rFonts w:ascii="Times" w:hAnsi="Times"/>
        </w:rPr>
        <w:t xml:space="preserve"> </w:t>
      </w:r>
    </w:p>
    <w:p w14:paraId="3FEF9A01" w14:textId="26109463" w:rsidR="00D14831" w:rsidRPr="00D14831" w:rsidRDefault="005E66AB" w:rsidP="00D14831">
      <w:pPr>
        <w:rPr>
          <w:rFonts w:ascii="Times" w:hAnsi="Times"/>
        </w:rPr>
      </w:pPr>
      <w:r w:rsidRPr="00D14831">
        <w:rPr>
          <w:rFonts w:ascii="Times" w:hAnsi="Times"/>
        </w:rPr>
        <w:t>In addition to addressing inter-rater reliability, the study also evaluated test administration procedures. The methods, results, and interpretation are provided below, in addition to recommended next steps.</w:t>
      </w:r>
      <w:r w:rsidR="00837268">
        <w:rPr>
          <w:rFonts w:ascii="Times" w:hAnsi="Times"/>
        </w:rPr>
        <w:t xml:space="preserve"> </w:t>
      </w:r>
      <w:r w:rsidR="00D14831" w:rsidRPr="00D14831">
        <w:rPr>
          <w:rFonts w:ascii="Times" w:hAnsi="Times"/>
        </w:rPr>
        <w:t xml:space="preserve">The observation </w:t>
      </w:r>
      <w:r w:rsidR="00D14831">
        <w:rPr>
          <w:rFonts w:ascii="Times" w:hAnsi="Times"/>
        </w:rPr>
        <w:t>was</w:t>
      </w:r>
      <w:r w:rsidR="00D14831" w:rsidRPr="00D14831">
        <w:rPr>
          <w:rFonts w:ascii="Times" w:hAnsi="Times"/>
        </w:rPr>
        <w:t xml:space="preserve"> composed of three sections: </w:t>
      </w:r>
    </w:p>
    <w:p w14:paraId="65F3E1A4" w14:textId="3E259353" w:rsidR="00D14831" w:rsidRPr="00D14831" w:rsidRDefault="00D14831" w:rsidP="00D14831">
      <w:pPr>
        <w:pStyle w:val="ListParagraph"/>
        <w:numPr>
          <w:ilvl w:val="0"/>
          <w:numId w:val="3"/>
        </w:numPr>
        <w:rPr>
          <w:rFonts w:ascii="Times" w:hAnsi="Times"/>
        </w:rPr>
      </w:pPr>
      <w:r w:rsidRPr="00D14831">
        <w:rPr>
          <w:rFonts w:ascii="Times" w:hAnsi="Times"/>
          <w:b/>
        </w:rPr>
        <w:t>First</w:t>
      </w:r>
      <w:r w:rsidRPr="00D14831">
        <w:rPr>
          <w:rFonts w:ascii="Times" w:hAnsi="Times"/>
        </w:rPr>
        <w:t xml:space="preserve">, </w:t>
      </w:r>
      <w:r>
        <w:rPr>
          <w:rFonts w:ascii="Times" w:hAnsi="Times"/>
        </w:rPr>
        <w:t>QT’s</w:t>
      </w:r>
      <w:r w:rsidRPr="00D14831">
        <w:rPr>
          <w:rFonts w:ascii="Times" w:hAnsi="Times"/>
        </w:rPr>
        <w:t xml:space="preserve"> review</w:t>
      </w:r>
      <w:r>
        <w:rPr>
          <w:rFonts w:ascii="Times" w:hAnsi="Times"/>
        </w:rPr>
        <w:t>ed</w:t>
      </w:r>
      <w:r w:rsidRPr="00D14831">
        <w:rPr>
          <w:rFonts w:ascii="Times" w:hAnsi="Times"/>
        </w:rPr>
        <w:t xml:space="preserve"> ORExt paper/pencil test preparation and administration using the rubric</w:t>
      </w:r>
      <w:r w:rsidR="007E4E73">
        <w:rPr>
          <w:rFonts w:ascii="Times" w:hAnsi="Times"/>
        </w:rPr>
        <w:t xml:space="preserve"> (Appendix 4.1 </w:t>
      </w:r>
      <w:proofErr w:type="spellStart"/>
      <w:r w:rsidR="007E4E73">
        <w:rPr>
          <w:rFonts w:ascii="Times" w:hAnsi="Times"/>
        </w:rPr>
        <w:t>InterRater_Observation_Form</w:t>
      </w:r>
      <w:proofErr w:type="spellEnd"/>
      <w:r w:rsidR="007E4E73">
        <w:rPr>
          <w:rFonts w:ascii="Times" w:hAnsi="Times"/>
        </w:rPr>
        <w:t>)</w:t>
      </w:r>
      <w:r w:rsidRPr="00D14831">
        <w:rPr>
          <w:rFonts w:ascii="Times" w:hAnsi="Times"/>
        </w:rPr>
        <w:t xml:space="preserve">. Test preparation/administration domains </w:t>
      </w:r>
      <w:r w:rsidR="007E4E73">
        <w:rPr>
          <w:rFonts w:ascii="Times" w:hAnsi="Times"/>
        </w:rPr>
        <w:t>were</w:t>
      </w:r>
      <w:r w:rsidRPr="00D14831">
        <w:rPr>
          <w:rFonts w:ascii="Times" w:hAnsi="Times"/>
        </w:rPr>
        <w:t xml:space="preserve"> rated on a four-point scale from </w:t>
      </w:r>
      <w:r w:rsidRPr="00D14831">
        <w:rPr>
          <w:rFonts w:ascii="Times" w:hAnsi="Times"/>
          <w:i/>
        </w:rPr>
        <w:t>Inappropriate (I)</w:t>
      </w:r>
      <w:r w:rsidRPr="00D14831">
        <w:rPr>
          <w:rFonts w:ascii="Times" w:hAnsi="Times"/>
        </w:rPr>
        <w:t xml:space="preserve"> to </w:t>
      </w:r>
      <w:r w:rsidRPr="00D14831">
        <w:rPr>
          <w:rFonts w:ascii="Times" w:hAnsi="Times"/>
          <w:i/>
        </w:rPr>
        <w:t>Exemplary (E)</w:t>
      </w:r>
      <w:r w:rsidRPr="00D14831">
        <w:rPr>
          <w:rFonts w:ascii="Times" w:hAnsi="Times"/>
        </w:rPr>
        <w:t>:</w:t>
      </w:r>
    </w:p>
    <w:p w14:paraId="58244324" w14:textId="7B92CC0A" w:rsidR="00D14831" w:rsidRPr="00D14831" w:rsidRDefault="00D14831" w:rsidP="00D14831">
      <w:pPr>
        <w:pStyle w:val="ListParagraph"/>
        <w:numPr>
          <w:ilvl w:val="1"/>
          <w:numId w:val="3"/>
        </w:numPr>
        <w:rPr>
          <w:rFonts w:ascii="Times" w:hAnsi="Times"/>
        </w:rPr>
      </w:pPr>
      <w:r w:rsidRPr="00D14831">
        <w:rPr>
          <w:rFonts w:ascii="Times" w:hAnsi="Times"/>
          <w:b/>
          <w:i/>
        </w:rPr>
        <w:t>Inappropriate (I)</w:t>
      </w:r>
      <w:r w:rsidRPr="00D14831">
        <w:rPr>
          <w:rFonts w:ascii="Times" w:hAnsi="Times"/>
        </w:rPr>
        <w:t xml:space="preserve"> denotes a level of concern that could clearly affect the accuracy of the test results gathered from the test administration. Ratings at this level require substantive</w:t>
      </w:r>
      <w:r w:rsidR="007E4E73">
        <w:rPr>
          <w:rFonts w:ascii="Times" w:hAnsi="Times"/>
        </w:rPr>
        <w:t xml:space="preserve"> retraining of the QA involved.</w:t>
      </w:r>
    </w:p>
    <w:p w14:paraId="0230B1DF" w14:textId="30547C0F" w:rsidR="00D14831" w:rsidRPr="00D14831" w:rsidRDefault="00D14831" w:rsidP="00D14831">
      <w:pPr>
        <w:pStyle w:val="ListParagraph"/>
        <w:numPr>
          <w:ilvl w:val="1"/>
          <w:numId w:val="3"/>
        </w:numPr>
        <w:rPr>
          <w:rFonts w:ascii="Times" w:hAnsi="Times"/>
        </w:rPr>
      </w:pPr>
      <w:r w:rsidRPr="00D14831">
        <w:rPr>
          <w:rFonts w:ascii="Times" w:hAnsi="Times"/>
          <w:b/>
          <w:i/>
        </w:rPr>
        <w:t>Somewhat Appropriate (SA)</w:t>
      </w:r>
      <w:r w:rsidRPr="00D14831">
        <w:rPr>
          <w:rFonts w:ascii="Times" w:hAnsi="Times"/>
        </w:rPr>
        <w:t xml:space="preserve"> rating denotes a level that includes some minor aspects that could be improved, but the accuracy of the test resu</w:t>
      </w:r>
      <w:r w:rsidR="007E4E73">
        <w:rPr>
          <w:rFonts w:ascii="Times" w:hAnsi="Times"/>
        </w:rPr>
        <w:t xml:space="preserve">lts </w:t>
      </w:r>
      <w:proofErr w:type="gramStart"/>
      <w:r w:rsidR="007E4E73">
        <w:rPr>
          <w:rFonts w:ascii="Times" w:hAnsi="Times"/>
        </w:rPr>
        <w:t>are</w:t>
      </w:r>
      <w:proofErr w:type="gramEnd"/>
      <w:r w:rsidR="007E4E73">
        <w:rPr>
          <w:rFonts w:ascii="Times" w:hAnsi="Times"/>
        </w:rPr>
        <w:t xml:space="preserve"> likely not compromised.</w:t>
      </w:r>
    </w:p>
    <w:p w14:paraId="212459CE" w14:textId="2EAED7B2" w:rsidR="00D14831" w:rsidRPr="00D14831" w:rsidRDefault="00D14831" w:rsidP="00D14831">
      <w:pPr>
        <w:pStyle w:val="ListParagraph"/>
        <w:numPr>
          <w:ilvl w:val="1"/>
          <w:numId w:val="3"/>
        </w:numPr>
        <w:rPr>
          <w:rFonts w:ascii="Times" w:hAnsi="Times"/>
        </w:rPr>
      </w:pPr>
      <w:r w:rsidRPr="00D14831">
        <w:rPr>
          <w:rFonts w:ascii="Times" w:hAnsi="Times"/>
          <w:b/>
          <w:i/>
        </w:rPr>
        <w:t>Appropriate (A)</w:t>
      </w:r>
      <w:r w:rsidRPr="00D14831">
        <w:rPr>
          <w:rFonts w:ascii="Times" w:hAnsi="Times"/>
        </w:rPr>
        <w:t xml:space="preserve"> denotes a level that is consistent with all te</w:t>
      </w:r>
      <w:r w:rsidR="007E4E73">
        <w:rPr>
          <w:rFonts w:ascii="Times" w:hAnsi="Times"/>
        </w:rPr>
        <w:t>st administration requirements.</w:t>
      </w:r>
    </w:p>
    <w:p w14:paraId="0A960A9C" w14:textId="77777777" w:rsidR="00D14831" w:rsidRPr="00D14831" w:rsidRDefault="00D14831" w:rsidP="00D14831">
      <w:pPr>
        <w:pStyle w:val="ListParagraph"/>
        <w:numPr>
          <w:ilvl w:val="1"/>
          <w:numId w:val="3"/>
        </w:numPr>
        <w:rPr>
          <w:rFonts w:ascii="Times" w:hAnsi="Times"/>
        </w:rPr>
      </w:pPr>
      <w:r w:rsidRPr="00D14831">
        <w:rPr>
          <w:rFonts w:ascii="Times" w:hAnsi="Times"/>
          <w:b/>
          <w:i/>
        </w:rPr>
        <w:t>Exemplary (E)</w:t>
      </w:r>
      <w:r w:rsidRPr="00D14831">
        <w:rPr>
          <w:rFonts w:ascii="Times" w:hAnsi="Times"/>
        </w:rPr>
        <w:t xml:space="preserve"> level performance suggests that the QA incorporated approaches to test administration that could become models for best practice.</w:t>
      </w:r>
    </w:p>
    <w:p w14:paraId="3921B3D3" w14:textId="029F8DFA" w:rsidR="00D14831" w:rsidRPr="00D14831" w:rsidRDefault="00D14831" w:rsidP="00D14831">
      <w:pPr>
        <w:pStyle w:val="ListParagraph"/>
        <w:numPr>
          <w:ilvl w:val="0"/>
          <w:numId w:val="3"/>
        </w:numPr>
        <w:rPr>
          <w:rFonts w:ascii="Times" w:hAnsi="Times"/>
        </w:rPr>
      </w:pPr>
      <w:r w:rsidRPr="00D14831">
        <w:rPr>
          <w:rFonts w:ascii="Times" w:hAnsi="Times"/>
          <w:b/>
        </w:rPr>
        <w:t>Second</w:t>
      </w:r>
      <w:r w:rsidRPr="00D14831">
        <w:rPr>
          <w:rFonts w:ascii="Times" w:hAnsi="Times"/>
        </w:rPr>
        <w:t xml:space="preserve">, </w:t>
      </w:r>
      <w:r w:rsidR="007E4E73">
        <w:rPr>
          <w:rFonts w:ascii="Times" w:hAnsi="Times"/>
        </w:rPr>
        <w:t>QT’s</w:t>
      </w:r>
      <w:r w:rsidRPr="00D14831">
        <w:rPr>
          <w:rFonts w:ascii="Times" w:hAnsi="Times"/>
        </w:rPr>
        <w:t xml:space="preserve"> scor</w:t>
      </w:r>
      <w:r w:rsidR="007E4E73">
        <w:rPr>
          <w:rFonts w:ascii="Times" w:hAnsi="Times"/>
        </w:rPr>
        <w:t>ed</w:t>
      </w:r>
      <w:r w:rsidRPr="00D14831">
        <w:rPr>
          <w:rFonts w:ascii="Times" w:hAnsi="Times"/>
        </w:rPr>
        <w:t xml:space="preserve"> the student alongside the QA using the scoring sheet</w:t>
      </w:r>
      <w:r w:rsidR="007E4E73">
        <w:rPr>
          <w:rFonts w:ascii="Times" w:hAnsi="Times"/>
        </w:rPr>
        <w:t xml:space="preserve"> (Appendix 4.1 </w:t>
      </w:r>
      <w:proofErr w:type="spellStart"/>
      <w:r w:rsidR="007E4E73">
        <w:rPr>
          <w:rFonts w:ascii="Times" w:hAnsi="Times"/>
        </w:rPr>
        <w:t>InterRater_Observation_Form</w:t>
      </w:r>
      <w:proofErr w:type="spellEnd"/>
      <w:r w:rsidR="007E4E73">
        <w:rPr>
          <w:rFonts w:ascii="Times" w:hAnsi="Times"/>
        </w:rPr>
        <w:t>).</w:t>
      </w:r>
      <w:r w:rsidRPr="00D14831">
        <w:rPr>
          <w:rFonts w:ascii="Times" w:hAnsi="Times"/>
        </w:rPr>
        <w:t xml:space="preserve"> </w:t>
      </w:r>
      <w:r w:rsidR="007E4E73">
        <w:rPr>
          <w:rFonts w:ascii="Times" w:hAnsi="Times"/>
        </w:rPr>
        <w:t>QT’s</w:t>
      </w:r>
      <w:r w:rsidRPr="00D14831">
        <w:rPr>
          <w:rFonts w:ascii="Times" w:hAnsi="Times"/>
        </w:rPr>
        <w:t xml:space="preserve"> compare</w:t>
      </w:r>
      <w:r w:rsidR="007E4E73">
        <w:rPr>
          <w:rFonts w:ascii="Times" w:hAnsi="Times"/>
        </w:rPr>
        <w:t>d</w:t>
      </w:r>
      <w:r w:rsidRPr="00D14831">
        <w:rPr>
          <w:rFonts w:ascii="Times" w:hAnsi="Times"/>
        </w:rPr>
        <w:t xml:space="preserve"> results after this observation to ensure that the QA enter</w:t>
      </w:r>
      <w:r w:rsidR="007E4E73">
        <w:rPr>
          <w:rFonts w:ascii="Times" w:hAnsi="Times"/>
        </w:rPr>
        <w:t>ed accurate data.</w:t>
      </w:r>
    </w:p>
    <w:p w14:paraId="5CFC857C" w14:textId="63A127E7" w:rsidR="00D14831" w:rsidRDefault="00D14831" w:rsidP="00D14831">
      <w:pPr>
        <w:pStyle w:val="ListParagraph"/>
        <w:numPr>
          <w:ilvl w:val="0"/>
          <w:numId w:val="3"/>
        </w:numPr>
        <w:rPr>
          <w:rFonts w:ascii="Times" w:hAnsi="Times"/>
        </w:rPr>
      </w:pPr>
      <w:r w:rsidRPr="00D14831">
        <w:rPr>
          <w:rFonts w:ascii="Times" w:hAnsi="Times"/>
          <w:b/>
        </w:rPr>
        <w:t>Finally</w:t>
      </w:r>
      <w:r w:rsidRPr="00D14831">
        <w:rPr>
          <w:rFonts w:ascii="Times" w:hAnsi="Times"/>
        </w:rPr>
        <w:t xml:space="preserve">, </w:t>
      </w:r>
      <w:r w:rsidR="007E4E73">
        <w:rPr>
          <w:rFonts w:ascii="Times" w:hAnsi="Times"/>
        </w:rPr>
        <w:t>QT’s</w:t>
      </w:r>
      <w:r w:rsidRPr="00D14831">
        <w:rPr>
          <w:rFonts w:ascii="Times" w:hAnsi="Times"/>
        </w:rPr>
        <w:t xml:space="preserve"> observe</w:t>
      </w:r>
      <w:r w:rsidR="007E4E73">
        <w:rPr>
          <w:rFonts w:ascii="Times" w:hAnsi="Times"/>
        </w:rPr>
        <w:t>d</w:t>
      </w:r>
      <w:r w:rsidRPr="00D14831">
        <w:rPr>
          <w:rFonts w:ascii="Times" w:hAnsi="Times"/>
        </w:rPr>
        <w:t xml:space="preserve"> the QA completing the data entry process to ensure that no errors are made during data entry and document the number of errors</w:t>
      </w:r>
      <w:r w:rsidR="007E4E73">
        <w:rPr>
          <w:rFonts w:ascii="Times" w:hAnsi="Times"/>
        </w:rPr>
        <w:t xml:space="preserve"> (Appendix 4.1 </w:t>
      </w:r>
      <w:proofErr w:type="spellStart"/>
      <w:r w:rsidR="007E4E73">
        <w:rPr>
          <w:rFonts w:ascii="Times" w:hAnsi="Times"/>
        </w:rPr>
        <w:t>InterRater_Observation_Form</w:t>
      </w:r>
      <w:proofErr w:type="spellEnd"/>
      <w:r w:rsidR="007E4E73">
        <w:rPr>
          <w:rFonts w:ascii="Times" w:hAnsi="Times"/>
        </w:rPr>
        <w:t>).</w:t>
      </w:r>
    </w:p>
    <w:p w14:paraId="34DF9E75" w14:textId="77777777" w:rsidR="004F1A66" w:rsidRDefault="004F1A66" w:rsidP="00CB3320">
      <w:pPr>
        <w:rPr>
          <w:rFonts w:ascii="Times" w:hAnsi="Times"/>
        </w:rPr>
      </w:pPr>
    </w:p>
    <w:p w14:paraId="55CC2E4E" w14:textId="1B98CB48" w:rsidR="00BE14A8" w:rsidRPr="00A459F4" w:rsidRDefault="005E66AB" w:rsidP="00CB3320">
      <w:pPr>
        <w:rPr>
          <w:rFonts w:ascii="Times" w:hAnsi="Times"/>
          <w:b/>
        </w:rPr>
      </w:pPr>
      <w:r w:rsidRPr="00A459F4">
        <w:rPr>
          <w:rFonts w:ascii="Times" w:hAnsi="Times"/>
          <w:b/>
        </w:rPr>
        <w:lastRenderedPageBreak/>
        <w:t xml:space="preserve">Inter-rater Agreement </w:t>
      </w:r>
      <w:r w:rsidR="00BE14A8" w:rsidRPr="00A459F4">
        <w:rPr>
          <w:rFonts w:ascii="Times" w:hAnsi="Times"/>
          <w:b/>
        </w:rPr>
        <w:t>Results</w:t>
      </w:r>
    </w:p>
    <w:p w14:paraId="080DB8FE" w14:textId="58F5E202" w:rsidR="0038208B" w:rsidRDefault="00BE14A8" w:rsidP="00CB3320">
      <w:pPr>
        <w:rPr>
          <w:rFonts w:ascii="Times" w:hAnsi="Times"/>
        </w:rPr>
      </w:pPr>
      <w:r>
        <w:rPr>
          <w:rFonts w:ascii="Times" w:hAnsi="Times"/>
        </w:rPr>
        <w:t>Thirty-three</w:t>
      </w:r>
      <w:r w:rsidR="00A54F9A" w:rsidRPr="00E8707C">
        <w:rPr>
          <w:rFonts w:ascii="Times" w:hAnsi="Times"/>
        </w:rPr>
        <w:t xml:space="preserve"> Qualified Trainers from around </w:t>
      </w:r>
      <w:r w:rsidR="00CB3320">
        <w:rPr>
          <w:rFonts w:ascii="Times" w:hAnsi="Times"/>
        </w:rPr>
        <w:t>Oregon</w:t>
      </w:r>
      <w:r w:rsidR="00A54F9A" w:rsidRPr="00E8707C">
        <w:rPr>
          <w:rFonts w:ascii="Times" w:hAnsi="Times"/>
        </w:rPr>
        <w:t xml:space="preserve"> </w:t>
      </w:r>
      <w:r w:rsidR="00E8707C" w:rsidRPr="00E8707C">
        <w:rPr>
          <w:rFonts w:ascii="Times" w:hAnsi="Times"/>
        </w:rPr>
        <w:t xml:space="preserve">participated </w:t>
      </w:r>
      <w:r w:rsidR="00CB3320">
        <w:rPr>
          <w:rFonts w:ascii="Times" w:hAnsi="Times"/>
        </w:rPr>
        <w:t xml:space="preserve">in the Inter-Rater-Reliability study </w:t>
      </w:r>
      <w:r w:rsidR="00E8707C" w:rsidRPr="00E8707C">
        <w:rPr>
          <w:rFonts w:ascii="Times" w:hAnsi="Times"/>
        </w:rPr>
        <w:t xml:space="preserve">by doing at least one observation on the Oregon Extended Assessment via paper/pencil administration. </w:t>
      </w:r>
      <w:r w:rsidR="0038208B">
        <w:rPr>
          <w:rFonts w:ascii="Times" w:hAnsi="Times"/>
        </w:rPr>
        <w:t xml:space="preserve">Of the thirty-three observations, 48.5% were </w:t>
      </w:r>
      <w:r w:rsidR="00A459F4">
        <w:rPr>
          <w:rFonts w:ascii="Times" w:hAnsi="Times"/>
        </w:rPr>
        <w:t xml:space="preserve">English Language Arts, 33.3% were Mathematics, and 18.2% were Science. </w:t>
      </w:r>
      <w:r w:rsidR="00E8707C" w:rsidRPr="00E8707C">
        <w:rPr>
          <w:rFonts w:ascii="Times" w:hAnsi="Times"/>
        </w:rPr>
        <w:t>Observations were done at individual student</w:t>
      </w:r>
      <w:r w:rsidR="00CB3320">
        <w:rPr>
          <w:rFonts w:ascii="Times" w:hAnsi="Times"/>
        </w:rPr>
        <w:t>’</w:t>
      </w:r>
      <w:r w:rsidR="00E8707C" w:rsidRPr="00E8707C">
        <w:rPr>
          <w:rFonts w:ascii="Times" w:hAnsi="Times"/>
        </w:rPr>
        <w:t>s typical testing location</w:t>
      </w:r>
      <w:r w:rsidR="00CB3320">
        <w:rPr>
          <w:rFonts w:ascii="Times" w:hAnsi="Times"/>
        </w:rPr>
        <w:t>.</w:t>
      </w:r>
      <w:r w:rsidR="00E8707C" w:rsidRPr="00E8707C">
        <w:rPr>
          <w:rFonts w:ascii="Times" w:hAnsi="Times"/>
        </w:rPr>
        <w:t xml:space="preserve"> </w:t>
      </w:r>
      <w:r w:rsidR="00CB3320">
        <w:rPr>
          <w:rFonts w:ascii="Times" w:hAnsi="Times"/>
        </w:rPr>
        <w:t xml:space="preserve">The study found a </w:t>
      </w:r>
      <w:r w:rsidR="00CB3320" w:rsidRPr="00E8707C">
        <w:rPr>
          <w:rFonts w:ascii="Times" w:hAnsi="Times"/>
        </w:rPr>
        <w:t xml:space="preserve">99.3 </w:t>
      </w:r>
      <w:r w:rsidR="00CB3320">
        <w:rPr>
          <w:rFonts w:ascii="Times" w:hAnsi="Times"/>
        </w:rPr>
        <w:t>Int</w:t>
      </w:r>
      <w:r w:rsidR="00CB3320" w:rsidRPr="00E8707C">
        <w:rPr>
          <w:rFonts w:ascii="Times" w:hAnsi="Times"/>
        </w:rPr>
        <w:t xml:space="preserve">er-Rater Reliability </w:t>
      </w:r>
      <w:r w:rsidR="0038208B">
        <w:rPr>
          <w:rFonts w:ascii="Times" w:hAnsi="Times"/>
        </w:rPr>
        <w:t xml:space="preserve">percentage </w:t>
      </w:r>
      <w:r w:rsidR="00CB3320" w:rsidRPr="00E8707C">
        <w:rPr>
          <w:rFonts w:ascii="Times" w:hAnsi="Times"/>
        </w:rPr>
        <w:t xml:space="preserve">agreement between </w:t>
      </w:r>
      <w:r w:rsidR="00CB3320">
        <w:rPr>
          <w:rFonts w:ascii="Times" w:hAnsi="Times"/>
        </w:rPr>
        <w:t xml:space="preserve">the </w:t>
      </w:r>
      <w:r w:rsidR="00CB3320" w:rsidRPr="00E8707C">
        <w:rPr>
          <w:rFonts w:ascii="Times" w:hAnsi="Times"/>
        </w:rPr>
        <w:t>test observers and test administrators on student item</w:t>
      </w:r>
      <w:r w:rsidR="00CB3320">
        <w:rPr>
          <w:rFonts w:ascii="Times" w:hAnsi="Times"/>
        </w:rPr>
        <w:t xml:space="preserve"> (answer)</w:t>
      </w:r>
      <w:r w:rsidR="00CB3320" w:rsidRPr="00E8707C">
        <w:rPr>
          <w:rFonts w:ascii="Times" w:hAnsi="Times"/>
        </w:rPr>
        <w:t xml:space="preserve"> selection.</w:t>
      </w:r>
      <w:r w:rsidR="005E66AB">
        <w:rPr>
          <w:rFonts w:ascii="Times" w:hAnsi="Times"/>
        </w:rPr>
        <w:t xml:space="preserve"> </w:t>
      </w:r>
    </w:p>
    <w:p w14:paraId="29E7B739" w14:textId="77777777" w:rsidR="00A459F4" w:rsidRDefault="00A459F4" w:rsidP="00A459F4">
      <w:pPr>
        <w:rPr>
          <w:rFonts w:ascii="Times" w:hAnsi="Times"/>
        </w:rPr>
      </w:pPr>
    </w:p>
    <w:p w14:paraId="65BB967D" w14:textId="77777777" w:rsidR="0038208B" w:rsidRPr="00D14831" w:rsidRDefault="0038208B" w:rsidP="00A459F4">
      <w:pPr>
        <w:rPr>
          <w:rFonts w:ascii="Times" w:hAnsi="Times"/>
          <w:b/>
        </w:rPr>
      </w:pPr>
      <w:r w:rsidRPr="00D14831">
        <w:rPr>
          <w:rFonts w:ascii="Times" w:hAnsi="Times"/>
          <w:b/>
        </w:rPr>
        <w:t>Qualified Assessor Testing Preparation and Administration Rubric</w:t>
      </w:r>
    </w:p>
    <w:p w14:paraId="688935DD" w14:textId="77777777" w:rsidR="0038208B" w:rsidRPr="00D14831" w:rsidRDefault="0038208B" w:rsidP="0038208B">
      <w:pPr>
        <w:jc w:val="center"/>
        <w:rPr>
          <w:rFonts w:ascii="Times" w:hAnsi="Times"/>
          <w:i/>
        </w:rPr>
      </w:pPr>
      <w:r w:rsidRPr="00D14831">
        <w:rPr>
          <w:rFonts w:ascii="Times" w:hAnsi="Times"/>
          <w:i/>
        </w:rPr>
        <w:t>(Record an “X” in the cell that corresponds to your rating)</w:t>
      </w:r>
    </w:p>
    <w:p w14:paraId="72E4542C" w14:textId="77777777" w:rsidR="0038208B" w:rsidRPr="00D14831" w:rsidRDefault="0038208B" w:rsidP="0038208B">
      <w:pPr>
        <w:rPr>
          <w:rFonts w:ascii="Times" w:hAnsi="Times"/>
          <w:b/>
        </w:rPr>
      </w:pPr>
    </w:p>
    <w:p w14:paraId="3C7E039C" w14:textId="77777777" w:rsidR="0038208B" w:rsidRPr="00D14831" w:rsidRDefault="0038208B" w:rsidP="0038208B">
      <w:pPr>
        <w:rPr>
          <w:rFonts w:ascii="Times" w:hAnsi="Times"/>
          <w:b/>
        </w:rPr>
      </w:pPr>
      <w:r w:rsidRPr="00D14831">
        <w:rPr>
          <w:rFonts w:ascii="Times" w:hAnsi="Times"/>
          <w:b/>
        </w:rPr>
        <w:t>Domain Definitions</w:t>
      </w:r>
    </w:p>
    <w:p w14:paraId="495D599A" w14:textId="77777777" w:rsidR="0038208B" w:rsidRPr="00D14831" w:rsidRDefault="0038208B" w:rsidP="0038208B">
      <w:pPr>
        <w:pStyle w:val="ListParagraph"/>
        <w:numPr>
          <w:ilvl w:val="0"/>
          <w:numId w:val="2"/>
        </w:numPr>
        <w:ind w:left="360"/>
        <w:rPr>
          <w:rFonts w:ascii="Times" w:hAnsi="Times"/>
        </w:rPr>
      </w:pPr>
      <w:r w:rsidRPr="00D14831">
        <w:rPr>
          <w:rFonts w:ascii="Times" w:hAnsi="Times"/>
          <w:b/>
          <w:i/>
        </w:rPr>
        <w:t>Test Security</w:t>
      </w:r>
      <w:r w:rsidRPr="00D14831">
        <w:rPr>
          <w:rFonts w:ascii="Times" w:hAnsi="Times"/>
        </w:rPr>
        <w:t xml:space="preserve"> – The QA utilized a system to ensure that all test materials were stored in a secure </w:t>
      </w:r>
      <w:proofErr w:type="gramStart"/>
      <w:r w:rsidRPr="00D14831">
        <w:rPr>
          <w:rFonts w:ascii="Times" w:hAnsi="Times"/>
        </w:rPr>
        <w:t>location,.</w:t>
      </w:r>
      <w:proofErr w:type="gramEnd"/>
      <w:r w:rsidRPr="00D14831">
        <w:rPr>
          <w:rFonts w:ascii="Times" w:hAnsi="Times"/>
        </w:rPr>
        <w:t xml:space="preserve"> The QA also had a district Assurance of Test Security form on file.</w:t>
      </w:r>
    </w:p>
    <w:p w14:paraId="1D43524C" w14:textId="77777777" w:rsidR="0038208B" w:rsidRPr="00D14831" w:rsidRDefault="0038208B" w:rsidP="0038208B">
      <w:pPr>
        <w:pStyle w:val="ListParagraph"/>
        <w:numPr>
          <w:ilvl w:val="0"/>
          <w:numId w:val="2"/>
        </w:numPr>
        <w:ind w:left="360"/>
        <w:rPr>
          <w:rFonts w:ascii="Times" w:hAnsi="Times"/>
        </w:rPr>
      </w:pPr>
      <w:r w:rsidRPr="00D14831">
        <w:rPr>
          <w:rFonts w:ascii="Times" w:hAnsi="Times"/>
          <w:b/>
          <w:i/>
        </w:rPr>
        <w:t>Printed Materials</w:t>
      </w:r>
      <w:r w:rsidRPr="00D14831">
        <w:rPr>
          <w:rFonts w:ascii="Times" w:hAnsi="Times"/>
        </w:rPr>
        <w:t xml:space="preserve"> – the QA had all materials required to administer the ORExt ready for test administration </w:t>
      </w:r>
    </w:p>
    <w:p w14:paraId="3AB8EFEC" w14:textId="77777777" w:rsidR="0038208B" w:rsidRPr="00D14831" w:rsidRDefault="0038208B" w:rsidP="0038208B">
      <w:pPr>
        <w:pStyle w:val="ListParagraph"/>
        <w:numPr>
          <w:ilvl w:val="0"/>
          <w:numId w:val="2"/>
        </w:numPr>
        <w:ind w:left="360"/>
        <w:rPr>
          <w:rFonts w:ascii="Times" w:hAnsi="Times"/>
        </w:rPr>
      </w:pPr>
      <w:r w:rsidRPr="00D14831">
        <w:rPr>
          <w:rFonts w:ascii="Times" w:hAnsi="Times"/>
          <w:b/>
          <w:i/>
        </w:rPr>
        <w:t>Distraction-Free Environment</w:t>
      </w:r>
      <w:r w:rsidRPr="00D14831">
        <w:rPr>
          <w:rFonts w:ascii="Times" w:hAnsi="Times"/>
        </w:rPr>
        <w:t xml:space="preserve"> – the QA arranged to provide the ORExt in a one-on-one test administration in a location that ensured that the student focused attention on the assessment.</w:t>
      </w:r>
    </w:p>
    <w:p w14:paraId="63D9010E" w14:textId="77777777" w:rsidR="0038208B" w:rsidRPr="00D14831" w:rsidRDefault="0038208B" w:rsidP="0038208B">
      <w:pPr>
        <w:pStyle w:val="ListParagraph"/>
        <w:numPr>
          <w:ilvl w:val="0"/>
          <w:numId w:val="2"/>
        </w:numPr>
        <w:ind w:left="360"/>
        <w:rPr>
          <w:rFonts w:ascii="Times" w:hAnsi="Times"/>
        </w:rPr>
      </w:pPr>
      <w:r w:rsidRPr="00D14831">
        <w:rPr>
          <w:rFonts w:ascii="Times" w:hAnsi="Times"/>
          <w:b/>
          <w:i/>
        </w:rPr>
        <w:t>Accessibility Supports</w:t>
      </w:r>
      <w:r w:rsidRPr="00D14831">
        <w:rPr>
          <w:rFonts w:ascii="Times" w:hAnsi="Times"/>
        </w:rPr>
        <w:t xml:space="preserve"> – the QA provided all necessary accessibility supports for the student and ensured that all support systems were functional prior to testing.</w:t>
      </w:r>
    </w:p>
    <w:p w14:paraId="170A6B80" w14:textId="77777777" w:rsidR="0038208B" w:rsidRPr="00D14831" w:rsidRDefault="0038208B" w:rsidP="0038208B">
      <w:pPr>
        <w:pStyle w:val="ListParagraph"/>
        <w:numPr>
          <w:ilvl w:val="0"/>
          <w:numId w:val="2"/>
        </w:numPr>
        <w:ind w:left="360"/>
        <w:rPr>
          <w:rFonts w:ascii="Times" w:hAnsi="Times"/>
        </w:rPr>
      </w:pPr>
      <w:r w:rsidRPr="00D14831">
        <w:rPr>
          <w:rFonts w:ascii="Times" w:hAnsi="Times"/>
          <w:b/>
          <w:i/>
        </w:rPr>
        <w:t>Level of Support</w:t>
      </w:r>
      <w:r w:rsidRPr="00D14831">
        <w:rPr>
          <w:rFonts w:ascii="Times" w:hAnsi="Times"/>
          <w:i/>
        </w:rPr>
        <w:t xml:space="preserve"> </w:t>
      </w:r>
      <w:r w:rsidRPr="00D14831">
        <w:rPr>
          <w:rFonts w:ascii="Times" w:hAnsi="Times"/>
        </w:rPr>
        <w:t>– The QA provided a</w:t>
      </w:r>
      <w:r>
        <w:rPr>
          <w:rFonts w:ascii="Times" w:hAnsi="Times"/>
        </w:rPr>
        <w:t xml:space="preserve">n appropriate level of support </w:t>
      </w:r>
      <w:r w:rsidRPr="00D14831">
        <w:rPr>
          <w:rFonts w:ascii="Times" w:hAnsi="Times"/>
        </w:rPr>
        <w:t>throughout testing that did not compromise the validity of the score.</w:t>
      </w:r>
    </w:p>
    <w:p w14:paraId="05CAD92E" w14:textId="77777777" w:rsidR="0038208B" w:rsidRPr="00D14831" w:rsidRDefault="0038208B" w:rsidP="0038208B">
      <w:pPr>
        <w:pStyle w:val="ListParagraph"/>
        <w:numPr>
          <w:ilvl w:val="0"/>
          <w:numId w:val="2"/>
        </w:numPr>
        <w:ind w:left="360"/>
        <w:rPr>
          <w:rFonts w:ascii="Times" w:hAnsi="Times"/>
        </w:rPr>
      </w:pPr>
      <w:r w:rsidRPr="00D14831">
        <w:rPr>
          <w:rFonts w:ascii="Times" w:hAnsi="Times"/>
          <w:b/>
          <w:i/>
        </w:rPr>
        <w:t>Praise</w:t>
      </w:r>
      <w:r w:rsidRPr="00D14831">
        <w:rPr>
          <w:rFonts w:ascii="Times" w:hAnsi="Times"/>
          <w:i/>
        </w:rPr>
        <w:t xml:space="preserve"> </w:t>
      </w:r>
      <w:r w:rsidRPr="00D14831">
        <w:rPr>
          <w:rFonts w:ascii="Times" w:hAnsi="Times"/>
        </w:rPr>
        <w:t>– The QA utilized praise appropriately to support student involvement without leading the student to the correct answer.</w:t>
      </w:r>
    </w:p>
    <w:p w14:paraId="51FA7EB8" w14:textId="77777777" w:rsidR="0038208B" w:rsidRPr="00D14831" w:rsidRDefault="0038208B" w:rsidP="0038208B">
      <w:pPr>
        <w:pStyle w:val="ListParagraph"/>
        <w:numPr>
          <w:ilvl w:val="0"/>
          <w:numId w:val="2"/>
        </w:numPr>
        <w:ind w:left="360"/>
        <w:rPr>
          <w:rFonts w:ascii="Times" w:hAnsi="Times"/>
        </w:rPr>
      </w:pPr>
      <w:r w:rsidRPr="00D14831">
        <w:rPr>
          <w:rFonts w:ascii="Times" w:hAnsi="Times"/>
          <w:b/>
          <w:i/>
        </w:rPr>
        <w:t>Motivation</w:t>
      </w:r>
      <w:r w:rsidRPr="00D14831">
        <w:rPr>
          <w:rFonts w:ascii="Times" w:hAnsi="Times"/>
          <w:i/>
        </w:rPr>
        <w:t xml:space="preserve"> </w:t>
      </w:r>
      <w:r w:rsidRPr="00D14831">
        <w:rPr>
          <w:rFonts w:ascii="Times" w:hAnsi="Times"/>
        </w:rPr>
        <w:t>– The QA appropriately maintained the student’s motivation during the assessment using relevant strategies, such as token systems.</w:t>
      </w:r>
    </w:p>
    <w:p w14:paraId="11DC3DDA" w14:textId="77777777" w:rsidR="0038208B" w:rsidRPr="00D14831" w:rsidRDefault="0038208B" w:rsidP="0038208B">
      <w:pPr>
        <w:pStyle w:val="ListParagraph"/>
        <w:numPr>
          <w:ilvl w:val="0"/>
          <w:numId w:val="2"/>
        </w:numPr>
        <w:ind w:left="360"/>
        <w:rPr>
          <w:rFonts w:ascii="Times" w:hAnsi="Times"/>
        </w:rPr>
      </w:pPr>
      <w:r w:rsidRPr="00D14831">
        <w:rPr>
          <w:rFonts w:ascii="Times" w:hAnsi="Times"/>
          <w:b/>
          <w:i/>
        </w:rPr>
        <w:t>Score Interpretation</w:t>
      </w:r>
      <w:r w:rsidRPr="00D14831">
        <w:rPr>
          <w:rFonts w:ascii="Times" w:hAnsi="Times"/>
          <w:i/>
        </w:rPr>
        <w:t xml:space="preserve"> </w:t>
      </w:r>
      <w:r w:rsidRPr="00D14831">
        <w:rPr>
          <w:rFonts w:ascii="Times" w:hAnsi="Times"/>
        </w:rPr>
        <w:t>– The QA demonstrated an appropriate understanding of how to use the cut scores and achievement level descriptors to interpret scores (i.e., ask the QA to describe how they interpret scores for parents).</w:t>
      </w:r>
    </w:p>
    <w:p w14:paraId="493D81FA" w14:textId="77777777" w:rsidR="0038208B" w:rsidRDefault="0038208B" w:rsidP="0038208B">
      <w:pPr>
        <w:pStyle w:val="ListParagraph"/>
        <w:numPr>
          <w:ilvl w:val="0"/>
          <w:numId w:val="2"/>
        </w:numPr>
        <w:ind w:left="360"/>
        <w:rPr>
          <w:rFonts w:ascii="Times" w:hAnsi="Times"/>
        </w:rPr>
      </w:pPr>
      <w:r w:rsidRPr="00D14831">
        <w:rPr>
          <w:rFonts w:ascii="Times" w:hAnsi="Times"/>
          <w:b/>
          <w:i/>
        </w:rPr>
        <w:t>Minimum Participation Rule</w:t>
      </w:r>
      <w:r w:rsidRPr="00D14831">
        <w:rPr>
          <w:rFonts w:ascii="Times" w:hAnsi="Times"/>
        </w:rPr>
        <w:t xml:space="preserve"> - The QA demonstrated an appropriate understanding of the minimum participation rule (i.e., ask the QA to define the rule if it is not used).</w:t>
      </w:r>
    </w:p>
    <w:p w14:paraId="1CBA9F3C" w14:textId="77777777" w:rsidR="0038208B" w:rsidRPr="00634FEC" w:rsidRDefault="0038208B" w:rsidP="00634FEC">
      <w:pPr>
        <w:rPr>
          <w:rFonts w:ascii="Times" w:hAnsi="Times"/>
        </w:rPr>
      </w:pPr>
    </w:p>
    <w:p w14:paraId="3E7B728D" w14:textId="77777777" w:rsidR="0038208B" w:rsidRPr="00D14831" w:rsidRDefault="0038208B" w:rsidP="0038208B">
      <w:pPr>
        <w:jc w:val="center"/>
        <w:rPr>
          <w:rFonts w:ascii="Times" w:hAnsi="Times"/>
        </w:rPr>
      </w:pPr>
      <w:r w:rsidRPr="00D14831">
        <w:rPr>
          <w:rFonts w:ascii="Times" w:hAnsi="Times"/>
          <w:noProof/>
        </w:rPr>
        <w:drawing>
          <wp:inline distT="0" distB="0" distL="0" distR="0" wp14:anchorId="3F81025A" wp14:editId="5343FC4E">
            <wp:extent cx="5824260" cy="1725033"/>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1162" cy="1907748"/>
                    </a:xfrm>
                    <a:prstGeom prst="rect">
                      <a:avLst/>
                    </a:prstGeom>
                  </pic:spPr>
                </pic:pic>
              </a:graphicData>
            </a:graphic>
          </wp:inline>
        </w:drawing>
      </w:r>
    </w:p>
    <w:p w14:paraId="1474B26E" w14:textId="77777777" w:rsidR="00972F20" w:rsidRPr="00E8707C" w:rsidRDefault="00972F20" w:rsidP="00972F20">
      <w:pPr>
        <w:rPr>
          <w:rFonts w:ascii="Times" w:hAnsi="Times"/>
        </w:rPr>
      </w:pPr>
    </w:p>
    <w:p w14:paraId="5BEDF2E9" w14:textId="58BB5A0E" w:rsidR="00972F20" w:rsidRDefault="00B04B4A" w:rsidP="00972F20">
      <w:r>
        <w:rPr>
          <w:noProof/>
        </w:rPr>
        <w:lastRenderedPageBreak/>
        <w:drawing>
          <wp:inline distT="0" distB="0" distL="0" distR="0" wp14:anchorId="2690EB6F" wp14:editId="585CDB4C">
            <wp:extent cx="5943600" cy="3657600"/>
            <wp:effectExtent l="0" t="0" r="0" b="0"/>
            <wp:docPr id="1" name="Picture 1" descr="/var/folders/36/f7g4pqsd6dq83bglv045z0640000gn/T/com.microsoft.Word/Content.MSO/9F3F46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36/f7g4pqsd6dq83bglv045z0640000gn/T/com.microsoft.Word/Content.MSO/9F3F46D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624" cy="3693922"/>
                    </a:xfrm>
                    <a:prstGeom prst="rect">
                      <a:avLst/>
                    </a:prstGeom>
                    <a:noFill/>
                    <a:ln>
                      <a:noFill/>
                    </a:ln>
                  </pic:spPr>
                </pic:pic>
              </a:graphicData>
            </a:graphic>
          </wp:inline>
        </w:drawing>
      </w:r>
    </w:p>
    <w:p w14:paraId="0EF8C96A" w14:textId="6D2F4C62" w:rsidR="00B04B4A" w:rsidRDefault="00B04B4A" w:rsidP="00972F20">
      <w:pPr>
        <w:rPr>
          <w:rFonts w:ascii="Times" w:hAnsi="Times"/>
          <w:b/>
        </w:rPr>
      </w:pPr>
      <w:r>
        <w:rPr>
          <w:rFonts w:ascii="Times" w:hAnsi="Times"/>
          <w:b/>
          <w:noProof/>
        </w:rPr>
        <w:lastRenderedPageBreak/>
        <w:drawing>
          <wp:inline distT="0" distB="0" distL="0" distR="0" wp14:anchorId="0FC60B7B" wp14:editId="04099B6F">
            <wp:extent cx="5943600" cy="3657600"/>
            <wp:effectExtent l="0" t="0" r="0" b="0"/>
            <wp:docPr id="2" name="Picture 2" descr="/var/folders/36/f7g4pqsd6dq83bglv045z0640000gn/T/com.microsoft.Word/Content.MSO/3A429E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36/f7g4pqsd6dq83bglv045z0640000gn/T/com.microsoft.Word/Content.MSO/3A429EB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812" cy="3658961"/>
                    </a:xfrm>
                    <a:prstGeom prst="rect">
                      <a:avLst/>
                    </a:prstGeom>
                    <a:noFill/>
                    <a:ln>
                      <a:noFill/>
                    </a:ln>
                  </pic:spPr>
                </pic:pic>
              </a:graphicData>
            </a:graphic>
          </wp:inline>
        </w:drawing>
      </w:r>
      <w:r>
        <w:rPr>
          <w:rFonts w:ascii="Times" w:hAnsi="Times"/>
          <w:b/>
          <w:noProof/>
        </w:rPr>
        <w:drawing>
          <wp:inline distT="0" distB="0" distL="0" distR="0" wp14:anchorId="6C03EB94" wp14:editId="570B74F9">
            <wp:extent cx="5943600" cy="3657600"/>
            <wp:effectExtent l="0" t="0" r="0" b="0"/>
            <wp:docPr id="3" name="Picture 3" descr="/var/folders/36/f7g4pqsd6dq83bglv045z0640000gn/T/com.microsoft.Word/Content.MSO/ED9B68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36/f7g4pqsd6dq83bglv045z0640000gn/T/com.microsoft.Word/Content.MSO/ED9B683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215" cy="3675209"/>
                    </a:xfrm>
                    <a:prstGeom prst="rect">
                      <a:avLst/>
                    </a:prstGeom>
                    <a:noFill/>
                    <a:ln>
                      <a:noFill/>
                    </a:ln>
                  </pic:spPr>
                </pic:pic>
              </a:graphicData>
            </a:graphic>
          </wp:inline>
        </w:drawing>
      </w:r>
      <w:r>
        <w:rPr>
          <w:rFonts w:ascii="Times" w:hAnsi="Times"/>
          <w:b/>
          <w:noProof/>
        </w:rPr>
        <w:lastRenderedPageBreak/>
        <w:drawing>
          <wp:inline distT="0" distB="0" distL="0" distR="0" wp14:anchorId="70E6CBC1" wp14:editId="64A1265A">
            <wp:extent cx="5943600" cy="3657600"/>
            <wp:effectExtent l="0" t="0" r="0" b="0"/>
            <wp:docPr id="4" name="Picture 4" descr="/var/folders/36/f7g4pqsd6dq83bglv045z0640000gn/T/com.microsoft.Word/Content.MSO/14B77E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36/f7g4pqsd6dq83bglv045z0640000gn/T/com.microsoft.Word/Content.MSO/14B77EF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Pr>
          <w:rFonts w:ascii="Times" w:hAnsi="Times"/>
          <w:b/>
          <w:noProof/>
        </w:rPr>
        <w:drawing>
          <wp:inline distT="0" distB="0" distL="0" distR="0" wp14:anchorId="481F2DDA" wp14:editId="09C10F9C">
            <wp:extent cx="5943600" cy="3657600"/>
            <wp:effectExtent l="0" t="0" r="0" b="0"/>
            <wp:docPr id="5" name="Picture 5" descr="/var/folders/36/f7g4pqsd6dq83bglv045z0640000gn/T/com.microsoft.Word/Content.MSO/9FECA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36/f7g4pqsd6dq83bglv045z0640000gn/T/com.microsoft.Word/Content.MSO/9FECA6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Pr>
          <w:rFonts w:ascii="Times" w:hAnsi="Times"/>
          <w:b/>
          <w:noProof/>
        </w:rPr>
        <w:lastRenderedPageBreak/>
        <w:drawing>
          <wp:inline distT="0" distB="0" distL="0" distR="0" wp14:anchorId="262D3C21" wp14:editId="369FC12F">
            <wp:extent cx="5943600" cy="3657600"/>
            <wp:effectExtent l="0" t="0" r="0" b="0"/>
            <wp:docPr id="6" name="Picture 6" descr="/var/folders/36/f7g4pqsd6dq83bglv045z0640000gn/T/com.microsoft.Word/Content.MSO/F73B1E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36/f7g4pqsd6dq83bglv045z0640000gn/T/com.microsoft.Word/Content.MSO/F73B1E0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Pr>
          <w:rFonts w:ascii="Times" w:hAnsi="Times"/>
          <w:b/>
          <w:noProof/>
        </w:rPr>
        <w:drawing>
          <wp:inline distT="0" distB="0" distL="0" distR="0" wp14:anchorId="4FBA0875" wp14:editId="796B9832">
            <wp:extent cx="5943600" cy="3657600"/>
            <wp:effectExtent l="0" t="0" r="0" b="0"/>
            <wp:docPr id="7" name="Picture 7" descr="/var/folders/36/f7g4pqsd6dq83bglv045z0640000gn/T/com.microsoft.Word/Content.MSO/BEAB19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36/f7g4pqsd6dq83bglv045z0640000gn/T/com.microsoft.Word/Content.MSO/BEAB195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Pr>
          <w:rFonts w:ascii="Times" w:hAnsi="Times"/>
          <w:b/>
          <w:noProof/>
        </w:rPr>
        <w:lastRenderedPageBreak/>
        <w:drawing>
          <wp:inline distT="0" distB="0" distL="0" distR="0" wp14:anchorId="2DE3FF91" wp14:editId="614138F2">
            <wp:extent cx="5943600" cy="3657600"/>
            <wp:effectExtent l="0" t="0" r="0" b="0"/>
            <wp:docPr id="8" name="Picture 8" descr="/var/folders/36/f7g4pqsd6dq83bglv045z0640000gn/T/com.microsoft.Word/Content.MSO/A0F807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36/f7g4pqsd6dq83bglv045z0640000gn/T/com.microsoft.Word/Content.MSO/A0F807D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Pr>
          <w:rFonts w:ascii="Times" w:hAnsi="Times"/>
          <w:b/>
          <w:noProof/>
        </w:rPr>
        <w:drawing>
          <wp:inline distT="0" distB="0" distL="0" distR="0" wp14:anchorId="0AF9A956" wp14:editId="4DAB7633">
            <wp:extent cx="5943600" cy="3657600"/>
            <wp:effectExtent l="0" t="0" r="0" b="0"/>
            <wp:docPr id="9" name="Picture 9" descr="/var/folders/36/f7g4pqsd6dq83bglv045z0640000gn/T/com.microsoft.Word/Content.MSO/2906C1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36/f7g4pqsd6dq83bglv045z0640000gn/T/com.microsoft.Word/Content.MSO/2906C10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28BE33CA" w14:textId="518B419A" w:rsidR="004D5EDA" w:rsidRDefault="004D5EDA" w:rsidP="00972F20">
      <w:pPr>
        <w:rPr>
          <w:rFonts w:ascii="Times" w:hAnsi="Times"/>
          <w:b/>
        </w:rPr>
      </w:pPr>
      <w:r>
        <w:rPr>
          <w:rFonts w:ascii="Times" w:hAnsi="Times"/>
          <w:b/>
        </w:rPr>
        <w:t>Interpretation</w:t>
      </w:r>
    </w:p>
    <w:p w14:paraId="23D5863B" w14:textId="5CB880D4" w:rsidR="004D5EDA" w:rsidRDefault="004D5EDA" w:rsidP="00972F20">
      <w:pPr>
        <w:rPr>
          <w:rFonts w:ascii="Times" w:hAnsi="Times"/>
        </w:rPr>
      </w:pPr>
      <w:r w:rsidRPr="007F6AFE">
        <w:rPr>
          <w:rFonts w:ascii="Times" w:hAnsi="Times"/>
        </w:rPr>
        <w:t>Provide an interpretation of the results above here.</w:t>
      </w:r>
      <w:r w:rsidR="005E66AB">
        <w:rPr>
          <w:rFonts w:ascii="Times" w:hAnsi="Times"/>
        </w:rPr>
        <w:t xml:space="preserve"> Make sure to mention that the score </w:t>
      </w:r>
    </w:p>
    <w:p w14:paraId="0BA89067" w14:textId="77777777" w:rsidR="005E66AB" w:rsidRPr="007F6AFE" w:rsidRDefault="005E66AB" w:rsidP="00972F20">
      <w:pPr>
        <w:rPr>
          <w:rFonts w:ascii="Times" w:hAnsi="Times"/>
        </w:rPr>
      </w:pPr>
    </w:p>
    <w:p w14:paraId="66608550" w14:textId="431CF8EB" w:rsidR="004D5EDA" w:rsidRDefault="004D5EDA" w:rsidP="00972F20">
      <w:pPr>
        <w:rPr>
          <w:rFonts w:ascii="Times" w:hAnsi="Times"/>
          <w:b/>
        </w:rPr>
      </w:pPr>
      <w:r>
        <w:rPr>
          <w:rFonts w:ascii="Times" w:hAnsi="Times"/>
          <w:b/>
        </w:rPr>
        <w:t>Next Steps and Recommendations</w:t>
      </w:r>
    </w:p>
    <w:p w14:paraId="3EBF11DC" w14:textId="01B553CD" w:rsidR="004D5EDA" w:rsidRPr="007F6AFE" w:rsidRDefault="004D5EDA" w:rsidP="00972F20">
      <w:pPr>
        <w:rPr>
          <w:rFonts w:ascii="Times" w:hAnsi="Times"/>
        </w:rPr>
      </w:pPr>
      <w:r w:rsidRPr="007F6AFE">
        <w:rPr>
          <w:rFonts w:ascii="Times" w:hAnsi="Times"/>
        </w:rPr>
        <w:lastRenderedPageBreak/>
        <w:t>Give ODE action steps to pursue in any areas of concern</w:t>
      </w:r>
      <w:r w:rsidR="005E66AB" w:rsidRPr="007F6AFE">
        <w:rPr>
          <w:rFonts w:ascii="Times" w:hAnsi="Times"/>
        </w:rPr>
        <w:t xml:space="preserve"> (</w:t>
      </w:r>
      <w:r w:rsidR="00F11E99">
        <w:rPr>
          <w:rFonts w:ascii="Times" w:hAnsi="Times"/>
        </w:rPr>
        <w:t xml:space="preserve">writing scoring accuracy/exemplars and </w:t>
      </w:r>
      <w:r w:rsidR="005E66AB" w:rsidRPr="007F6AFE">
        <w:rPr>
          <w:rFonts w:ascii="Times" w:hAnsi="Times"/>
        </w:rPr>
        <w:t>score interpretation training)</w:t>
      </w:r>
    </w:p>
    <w:sectPr w:rsidR="004D5EDA" w:rsidRPr="007F6AFE" w:rsidSect="00A04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304B"/>
    <w:multiLevelType w:val="hybridMultilevel"/>
    <w:tmpl w:val="5EC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23C13"/>
    <w:multiLevelType w:val="hybridMultilevel"/>
    <w:tmpl w:val="CE78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C67F1"/>
    <w:multiLevelType w:val="hybridMultilevel"/>
    <w:tmpl w:val="1B2EFB7E"/>
    <w:lvl w:ilvl="0" w:tplc="BF222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20"/>
    <w:rsid w:val="001D7667"/>
    <w:rsid w:val="002D5952"/>
    <w:rsid w:val="0038208B"/>
    <w:rsid w:val="003B1258"/>
    <w:rsid w:val="0042013D"/>
    <w:rsid w:val="004C79CC"/>
    <w:rsid w:val="004D5EDA"/>
    <w:rsid w:val="004F1A66"/>
    <w:rsid w:val="005E66AB"/>
    <w:rsid w:val="00634FEC"/>
    <w:rsid w:val="006A3B31"/>
    <w:rsid w:val="006A7D44"/>
    <w:rsid w:val="00726E55"/>
    <w:rsid w:val="007A5C8A"/>
    <w:rsid w:val="007D39A0"/>
    <w:rsid w:val="007D51E8"/>
    <w:rsid w:val="007E4E73"/>
    <w:rsid w:val="007F6AFE"/>
    <w:rsid w:val="00837268"/>
    <w:rsid w:val="00845615"/>
    <w:rsid w:val="00972F20"/>
    <w:rsid w:val="00A0434C"/>
    <w:rsid w:val="00A459F4"/>
    <w:rsid w:val="00A54F9A"/>
    <w:rsid w:val="00B04B4A"/>
    <w:rsid w:val="00B108F2"/>
    <w:rsid w:val="00BC0FC8"/>
    <w:rsid w:val="00BE14A8"/>
    <w:rsid w:val="00CB3320"/>
    <w:rsid w:val="00CF5268"/>
    <w:rsid w:val="00D14831"/>
    <w:rsid w:val="00D47BCD"/>
    <w:rsid w:val="00E8707C"/>
    <w:rsid w:val="00F1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9E124"/>
  <w14:defaultImageDpi w14:val="32767"/>
  <w15:chartTrackingRefBased/>
  <w15:docId w15:val="{B3EDFD4A-4926-6844-A450-5096AA7A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4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14A8"/>
    <w:rPr>
      <w:rFonts w:ascii="Times New Roman" w:hAnsi="Times New Roman" w:cs="Times New Roman"/>
      <w:sz w:val="18"/>
      <w:szCs w:val="18"/>
    </w:rPr>
  </w:style>
  <w:style w:type="paragraph" w:styleId="ListParagraph">
    <w:name w:val="List Paragraph"/>
    <w:basedOn w:val="Normal"/>
    <w:uiPriority w:val="34"/>
    <w:qFormat/>
    <w:rsid w:val="00CF5268"/>
    <w:pPr>
      <w:ind w:left="720"/>
      <w:contextualSpacing/>
    </w:pPr>
    <w:rPr>
      <w:rFonts w:asciiTheme="majorHAnsi" w:eastAsia="Times New Roman" w:hAnsiTheme="majorHAnsi"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821249">
      <w:bodyDiv w:val="1"/>
      <w:marLeft w:val="0"/>
      <w:marRight w:val="0"/>
      <w:marTop w:val="0"/>
      <w:marBottom w:val="0"/>
      <w:divBdr>
        <w:top w:val="none" w:sz="0" w:space="0" w:color="auto"/>
        <w:left w:val="none" w:sz="0" w:space="0" w:color="auto"/>
        <w:bottom w:val="none" w:sz="0" w:space="0" w:color="auto"/>
        <w:right w:val="none" w:sz="0" w:space="0" w:color="auto"/>
      </w:divBdr>
    </w:div>
    <w:div w:id="1813062672">
      <w:bodyDiv w:val="1"/>
      <w:marLeft w:val="0"/>
      <w:marRight w:val="0"/>
      <w:marTop w:val="0"/>
      <w:marBottom w:val="0"/>
      <w:divBdr>
        <w:top w:val="none" w:sz="0" w:space="0" w:color="auto"/>
        <w:left w:val="none" w:sz="0" w:space="0" w:color="auto"/>
        <w:bottom w:val="none" w:sz="0" w:space="0" w:color="auto"/>
        <w:right w:val="none" w:sz="0" w:space="0" w:color="auto"/>
      </w:divBdr>
    </w:div>
    <w:div w:id="206379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BRT</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Rowley</dc:creator>
  <cp:keywords/>
  <dc:description/>
  <cp:lastModifiedBy>Brock Rowley</cp:lastModifiedBy>
  <cp:revision>5</cp:revision>
  <dcterms:created xsi:type="dcterms:W3CDTF">2018-07-03T20:47:00Z</dcterms:created>
  <dcterms:modified xsi:type="dcterms:W3CDTF">2018-07-11T18:11:00Z</dcterms:modified>
</cp:coreProperties>
</file>