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bookmarkStart w:id="0" w:name="_GoBack"/>
      <w:bookmarkEnd w:id="0"/>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078F819B" w:rsidR="009B648E" w:rsidRDefault="009B648E" w:rsidP="009B648E">
      <w:pPr>
        <w:spacing w:line="480" w:lineRule="auto"/>
        <w:jc w:val="center"/>
      </w:pPr>
      <w:r>
        <w:t>201</w:t>
      </w:r>
      <w:r w:rsidR="00117A3E">
        <w:t>9</w:t>
      </w:r>
      <w:r>
        <w:t xml:space="preserve"> Consequential Validity Survey Results for the Oregon Extended Assessments</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63238DEA" w:rsidR="00E13207" w:rsidRPr="003B7BCA" w:rsidRDefault="00E13207" w:rsidP="00C667C3">
      <w:pPr>
        <w:spacing w:line="480" w:lineRule="auto"/>
        <w:rPr>
          <w:rFonts w:cs="Times New Roman"/>
        </w:rPr>
      </w:pPr>
      <w:r w:rsidRPr="003B7BCA">
        <w:rPr>
          <w:rFonts w:cs="Times New Roman"/>
          <w:b/>
        </w:rPr>
        <w:tab/>
      </w:r>
      <w:r w:rsidRPr="003B7BCA">
        <w:rPr>
          <w:rFonts w:cs="Times New Roman"/>
        </w:rPr>
        <w:t xml:space="preserve">Behavioral Research and Teaching </w:t>
      </w:r>
      <w:r w:rsidR="004C2D7A" w:rsidRPr="003B7BCA">
        <w:rPr>
          <w:rFonts w:cs="Times New Roman"/>
        </w:rPr>
        <w:t xml:space="preserve">(BRT) </w:t>
      </w:r>
      <w:r w:rsidRPr="003B7BCA">
        <w:rPr>
          <w:rFonts w:cs="Times New Roman"/>
        </w:rPr>
        <w:t xml:space="preserve">at the University of Oregon </w:t>
      </w:r>
      <w:r w:rsidR="004C2D7A" w:rsidRPr="003B7BCA">
        <w:rPr>
          <w:rFonts w:cs="Times New Roman"/>
        </w:rPr>
        <w:t xml:space="preserve">conducted the current consequential validity survey </w:t>
      </w:r>
      <w:r w:rsidRPr="003B7BCA">
        <w:rPr>
          <w:rFonts w:cs="Times New Roman"/>
        </w:rPr>
        <w:t xml:space="preserve">for the Oregon Department of Education (ODE). The purpose was to determine </w:t>
      </w:r>
      <w:r w:rsidR="004C2D7A" w:rsidRPr="003B7BCA">
        <w:rPr>
          <w:rFonts w:cs="Times New Roman"/>
        </w:rPr>
        <w:t xml:space="preserve">Oregon </w:t>
      </w:r>
      <w:r w:rsidRPr="003B7BCA">
        <w:rPr>
          <w:rFonts w:cs="Times New Roman"/>
        </w:rPr>
        <w:t>educator perceptions of the impact that implementation of the Oregon Extended Assessment (ORExt) program</w:t>
      </w:r>
      <w:r w:rsidR="00E24D00">
        <w:rPr>
          <w:rFonts w:cs="Times New Roman"/>
        </w:rPr>
        <w:t xml:space="preserve"> </w:t>
      </w:r>
      <w:r w:rsidRPr="003B7BCA">
        <w:rPr>
          <w:rFonts w:cs="Times New Roman"/>
        </w:rPr>
        <w:t>has upon the field in the areas of instruction and student opportunity for students with significant cognitive disabilities</w:t>
      </w:r>
      <w:r w:rsidR="004C2D7A" w:rsidRPr="003B7BCA">
        <w:rPr>
          <w:rFonts w:cs="Times New Roman"/>
        </w:rPr>
        <w:t xml:space="preserve"> (SWSCD)</w:t>
      </w:r>
      <w:r w:rsidRPr="003B7BCA">
        <w:rPr>
          <w:rFonts w:cs="Times New Roman"/>
        </w:rPr>
        <w:t xml:space="preserve">. </w:t>
      </w:r>
      <w:r w:rsidR="004C2D7A" w:rsidRPr="003B7BCA">
        <w:rPr>
          <w:rFonts w:cs="Times New Roman"/>
        </w:rPr>
        <w:t>BRT</w:t>
      </w:r>
      <w:r w:rsidRPr="003B7BCA">
        <w:rPr>
          <w:rFonts w:cs="Times New Roman"/>
        </w:rPr>
        <w:t xml:space="preserve"> </w:t>
      </w:r>
      <w:r w:rsidR="004C2D7A" w:rsidRPr="003B7BCA">
        <w:rPr>
          <w:rFonts w:cs="Times New Roman"/>
        </w:rPr>
        <w:t>collected the information as a basis</w:t>
      </w:r>
      <w:r w:rsidRPr="003B7BCA">
        <w:rPr>
          <w:rFonts w:cs="Times New Roman"/>
        </w:rPr>
        <w:t xml:space="preserve"> for continuous improvement efforts related to the </w:t>
      </w:r>
      <w:r w:rsidR="004C2D7A" w:rsidRPr="003B7BCA">
        <w:rPr>
          <w:rFonts w:cs="Times New Roman"/>
        </w:rPr>
        <w:t>ORExt</w:t>
      </w:r>
      <w:r w:rsidRPr="003B7BCA">
        <w:rPr>
          <w:rFonts w:cs="Times New Roman"/>
        </w:rPr>
        <w:t xml:space="preserve">. This is the </w:t>
      </w:r>
      <w:r w:rsidR="002060CF">
        <w:rPr>
          <w:rFonts w:cs="Times New Roman"/>
        </w:rPr>
        <w:t>f</w:t>
      </w:r>
      <w:r w:rsidR="00C46CC2">
        <w:rPr>
          <w:rFonts w:cs="Times New Roman"/>
        </w:rPr>
        <w:t>if</w:t>
      </w:r>
      <w:r w:rsidR="002060CF">
        <w:rPr>
          <w:rFonts w:cs="Times New Roman"/>
        </w:rPr>
        <w:t>th</w:t>
      </w:r>
      <w:r w:rsidRPr="003B7BCA">
        <w:rPr>
          <w:rFonts w:cs="Times New Roman"/>
        </w:rPr>
        <w:t xml:space="preserve"> year collecting </w:t>
      </w:r>
      <w:r w:rsidR="004C2D7A" w:rsidRPr="003B7BCA">
        <w:rPr>
          <w:rFonts w:cs="Times New Roman"/>
        </w:rPr>
        <w:t xml:space="preserve">such information, with participants </w:t>
      </w:r>
      <w:r w:rsidR="004C2D7A" w:rsidRPr="003B7BCA">
        <w:t>asked to respond to a range of quantitative and qualitative survey prompts.</w:t>
      </w:r>
      <w:r w:rsidR="004C2D7A" w:rsidRPr="003B7BCA">
        <w:rPr>
          <w:rFonts w:cs="Times New Roman"/>
        </w:rPr>
        <w:t xml:space="preserve"> All p</w:t>
      </w:r>
      <w:r w:rsidRPr="003B7BCA">
        <w:rPr>
          <w:rFonts w:cs="Times New Roman"/>
        </w:rPr>
        <w:t>articipants were Qualified Assessors</w:t>
      </w:r>
      <w:r w:rsidR="004C2D7A" w:rsidRPr="003B7BCA">
        <w:rPr>
          <w:rFonts w:cs="Times New Roman"/>
        </w:rPr>
        <w:t xml:space="preserve"> (QAs)</w:t>
      </w:r>
      <w:r w:rsidRPr="003B7BCA">
        <w:rPr>
          <w:rFonts w:cs="Times New Roman"/>
        </w:rPr>
        <w:t xml:space="preserve"> and Qualified Trainers </w:t>
      </w:r>
      <w:r w:rsidR="004C2D7A" w:rsidRPr="003B7BCA">
        <w:rPr>
          <w:rFonts w:cs="Times New Roman"/>
        </w:rPr>
        <w:t xml:space="preserve">(QTs) in Oregon, and </w:t>
      </w:r>
      <w:r w:rsidRPr="003B7BCA">
        <w:rPr>
          <w:rFonts w:cs="Times New Roman"/>
        </w:rPr>
        <w:t>were ass</w:t>
      </w:r>
      <w:r w:rsidR="0071539E">
        <w:rPr>
          <w:rFonts w:cs="Times New Roman"/>
        </w:rPr>
        <w:t xml:space="preserve">ured of strict confidentiality, with </w:t>
      </w:r>
      <w:r w:rsidR="00264BC7">
        <w:rPr>
          <w:rFonts w:cs="Times New Roman"/>
        </w:rPr>
        <w:t xml:space="preserve">aggregated </w:t>
      </w:r>
      <w:r w:rsidR="0071539E">
        <w:rPr>
          <w:rFonts w:cs="Times New Roman"/>
        </w:rPr>
        <w:t xml:space="preserve">survey results </w:t>
      </w:r>
      <w:r w:rsidRPr="003B7BCA">
        <w:rPr>
          <w:rFonts w:cs="Times New Roman"/>
        </w:rPr>
        <w:t>reported</w:t>
      </w:r>
      <w:r w:rsidR="0071539E">
        <w:rPr>
          <w:rFonts w:cs="Times New Roman"/>
        </w:rPr>
        <w:t xml:space="preserve"> </w:t>
      </w:r>
      <w:r w:rsidR="00264BC7">
        <w:rPr>
          <w:rFonts w:cs="Times New Roman"/>
        </w:rPr>
        <w:t>here to protect</w:t>
      </w:r>
      <w:r w:rsidRPr="003B7BCA">
        <w:rPr>
          <w:rFonts w:cs="Times New Roman"/>
        </w:rPr>
        <w:t xml:space="preserve"> confidentiality.</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5083286B" w14:textId="77777777" w:rsidR="00C667C3" w:rsidRPr="003B7BCA" w:rsidRDefault="00C667C3" w:rsidP="00C667C3">
      <w:pPr>
        <w:spacing w:line="480" w:lineRule="auto"/>
        <w:jc w:val="center"/>
        <w:rPr>
          <w:b/>
        </w:rPr>
      </w:pPr>
      <w:r w:rsidRPr="003B7BCA">
        <w:rPr>
          <w:b/>
        </w:rPr>
        <w:lastRenderedPageBreak/>
        <w:t>Theoretical Background</w:t>
      </w:r>
    </w:p>
    <w:p w14:paraId="740871BF" w14:textId="072B04F0" w:rsidR="00F307AE" w:rsidRPr="003B7BCA" w:rsidRDefault="00D07EC2" w:rsidP="00985904">
      <w:pPr>
        <w:spacing w:line="480" w:lineRule="auto"/>
        <w:ind w:firstLine="720"/>
      </w:pPr>
      <w:r w:rsidRPr="003B7BCA">
        <w:fldChar w:fldCharType="begin"/>
      </w:r>
      <w:r w:rsidR="00985904" w:rsidRPr="003B7BCA">
        <w:instrText xml:space="preserve"> ADDIN EN.CITE &lt;EndNote&gt;&lt;Cite AuthorYear="1"&gt;&lt;Author&gt;Messick&lt;/Author&gt;&lt;Year&gt;1989&lt;/Year&gt;&lt;RecNum&gt;1&lt;/RecNum&gt;&lt;DisplayText&gt;Messick (1989)&lt;/DisplayText&gt;&lt;record&gt;&lt;rec-number&gt;1&lt;/rec-number&gt;&lt;foreign-keys&gt;&lt;key app="EN" db-id="rzz2wefv4rrf5qev95svtv0vx5s0xa2vxfzz" timestamp="1443468436"&gt;1&lt;/key&gt;&lt;/foreign-keys&gt;&lt;ref-type name="Report"&gt;27&lt;/ref-type&gt;&lt;contributors&gt;&lt;authors&gt;&lt;author&gt;Messick, S.&lt;/author&gt;&lt;/authors&gt;&lt;/contributors&gt;&lt;titles&gt;&lt;title&gt;Validity of test interpretation and use&lt;/title&gt;&lt;/titles&gt;&lt;dates&gt;&lt;year&gt;1989&lt;/year&gt;&lt;/dates&gt;&lt;pub-location&gt;Princeton, NJ&lt;/pub-location&gt;&lt;publisher&gt;Educational Testing Service&lt;/publisher&gt;&lt;urls&gt;&lt;/urls&gt;&lt;/record&gt;&lt;/Cite&gt;&lt;/EndNote&gt;</w:instrText>
      </w:r>
      <w:r w:rsidRPr="003B7BCA">
        <w:fldChar w:fldCharType="separate"/>
      </w:r>
      <w:r w:rsidR="00DD362B" w:rsidRPr="003B7BCA">
        <w:rPr>
          <w:noProof/>
        </w:rPr>
        <w:t>Messick (1989)</w:t>
      </w:r>
      <w:r w:rsidRPr="003B7BCA">
        <w:fldChar w:fldCharType="end"/>
      </w:r>
      <w:r w:rsidR="00DD362B" w:rsidRPr="003B7BCA">
        <w:t xml:space="preserve"> introduced consequential validity as a concept in relation to </w:t>
      </w:r>
      <w:r w:rsidR="00B83316" w:rsidRPr="003B7BCA">
        <w:t>test development and usage over two decades ago</w:t>
      </w:r>
      <w:r w:rsidRPr="003B7BCA">
        <w:t xml:space="preserve">. </w:t>
      </w:r>
      <w:r w:rsidR="00DD362B" w:rsidRPr="003B7BCA">
        <w:fldChar w:fldCharType="begin"/>
      </w:r>
      <w:r w:rsidR="00985904" w:rsidRPr="003B7BCA">
        <w:instrText xml:space="preserve"> ADDIN EN.CITE &lt;EndNote&gt;&lt;Cite AuthorYear="1"&gt;&lt;Author&gt;Shepard&lt;/Author&gt;&lt;Year&gt;1997&lt;/Year&gt;&lt;RecNum&gt;2&lt;/RecNum&gt;&lt;DisplayText&gt;Shepard (1997)&lt;/DisplayText&gt;&lt;record&gt;&lt;rec-number&gt;2&lt;/rec-number&gt;&lt;foreign-keys&gt;&lt;key app="EN" db-id="rzz2wefv4rrf5qev95svtv0vx5s0xa2vxfzz" timestamp="1443468436"&gt;2&lt;/key&gt;&lt;/foreign-keys&gt;&lt;ref-type name="Journal Article"&gt;17&lt;/ref-type&gt;&lt;contributors&gt;&lt;authors&gt;&lt;author&gt;Shepard, L.S.&lt;/author&gt;&lt;/authors&gt;&lt;/contributors&gt;&lt;titles&gt;&lt;title&gt;The centrality of test use and consequences for test validity&lt;/title&gt;&lt;secondary-title&gt;Educational Measurement: Issues and Practice&lt;/secondary-title&gt;&lt;/titles&gt;&lt;periodical&gt;&lt;full-title&gt;Educational Measurement: Issues and Practice&lt;/full-title&gt;&lt;/periodical&gt;&lt;pages&gt;5-24&lt;/pages&gt;&lt;volume&gt;16&lt;/volume&gt;&lt;number&gt;2&lt;/number&gt;&lt;dates&gt;&lt;year&gt;1997&lt;/year&gt;&lt;/dates&gt;&lt;urls&gt;&lt;/urls&gt;&lt;/record&gt;&lt;/Cite&gt;&lt;/EndNote&gt;</w:instrText>
      </w:r>
      <w:r w:rsidR="00DD362B" w:rsidRPr="003B7BCA">
        <w:fldChar w:fldCharType="separate"/>
      </w:r>
      <w:r w:rsidR="00DD362B" w:rsidRPr="003B7BCA">
        <w:rPr>
          <w:noProof/>
        </w:rPr>
        <w:t>Shepard (1997)</w:t>
      </w:r>
      <w:r w:rsidR="00DD362B" w:rsidRPr="003B7BCA">
        <w:fldChar w:fldCharType="end"/>
      </w:r>
      <w:r w:rsidR="00DD362B" w:rsidRPr="003B7BCA">
        <w:t xml:space="preserve"> </w:t>
      </w:r>
      <w:r w:rsidR="000A0F57" w:rsidRPr="003B7BCA">
        <w:t xml:space="preserve">broadened the definition, incorporating positive, </w:t>
      </w:r>
      <w:r w:rsidRPr="003B7BCA">
        <w:t>negative</w:t>
      </w:r>
      <w:r w:rsidR="000A0F57" w:rsidRPr="003B7BCA">
        <w:t xml:space="preserve"> and neutral</w:t>
      </w:r>
      <w:r w:rsidRPr="003B7BCA">
        <w:t xml:space="preserve"> co</w:t>
      </w:r>
      <w:r w:rsidR="000A0F57" w:rsidRPr="003B7BCA">
        <w:t xml:space="preserve">nsequences, as well as intended and </w:t>
      </w:r>
      <w:r w:rsidRPr="003B7BCA">
        <w:t xml:space="preserve">unintended consequences. </w:t>
      </w:r>
      <w:r w:rsidR="00DD362B" w:rsidRPr="003B7BCA">
        <w:t>Broadly, consequential validit</w:t>
      </w:r>
      <w:r w:rsidR="008637D5" w:rsidRPr="003B7BCA">
        <w:t>y is considered as s</w:t>
      </w:r>
      <w:r w:rsidR="00DD362B" w:rsidRPr="003B7BCA">
        <w:t>eparate</w:t>
      </w:r>
      <w:r w:rsidR="000A0F57" w:rsidRPr="003B7BCA">
        <w:t xml:space="preserve"> </w:t>
      </w:r>
      <w:r w:rsidR="00DD362B" w:rsidRPr="003B7BCA">
        <w:t>though interconnected</w:t>
      </w:r>
      <w:r w:rsidR="000A0F57" w:rsidRPr="003B7BCA">
        <w:t xml:space="preserve"> </w:t>
      </w:r>
      <w:r w:rsidR="008637D5" w:rsidRPr="003B7BCA">
        <w:t xml:space="preserve">to other </w:t>
      </w:r>
      <w:r w:rsidR="00DD362B" w:rsidRPr="003B7BCA">
        <w:t>aspect</w:t>
      </w:r>
      <w:r w:rsidR="008637D5" w:rsidRPr="003B7BCA">
        <w:t>s</w:t>
      </w:r>
      <w:r w:rsidR="00DD362B" w:rsidRPr="003B7BCA">
        <w:t xml:space="preserve"> of </w:t>
      </w:r>
      <w:r w:rsidR="008637D5" w:rsidRPr="003B7BCA">
        <w:t xml:space="preserve">test </w:t>
      </w:r>
      <w:r w:rsidR="00DD362B" w:rsidRPr="003B7BCA">
        <w:t>validity (i.e., construct, content</w:t>
      </w:r>
      <w:r w:rsidR="008637D5" w:rsidRPr="003B7BCA">
        <w:t xml:space="preserve">). </w:t>
      </w:r>
      <w:r w:rsidR="00F307AE" w:rsidRPr="003B7BCA">
        <w:t>Whether the consequences of test use</w:t>
      </w:r>
      <w:r w:rsidR="008637D5" w:rsidRPr="003B7BCA">
        <w:t xml:space="preserve"> are</w:t>
      </w:r>
      <w:r w:rsidR="000A0F57" w:rsidRPr="003B7BCA">
        <w:t xml:space="preserve"> the responsibility of the </w:t>
      </w:r>
      <w:r w:rsidR="008637D5" w:rsidRPr="003B7BCA">
        <w:t>test author</w:t>
      </w:r>
      <w:r w:rsidR="000A0F57" w:rsidRPr="003B7BCA">
        <w:t xml:space="preserve"> or user</w:t>
      </w:r>
      <w:r w:rsidR="008637D5" w:rsidRPr="003B7BCA">
        <w:t xml:space="preserve"> </w:t>
      </w:r>
      <w:r w:rsidR="005846A3" w:rsidRPr="003B7BCA">
        <w:fldChar w:fldCharType="begin"/>
      </w:r>
      <w:r w:rsidR="00985904" w:rsidRPr="003B7BCA">
        <w:instrText xml:space="preserve"> ADDIN EN.CITE &lt;EndNote&gt;&lt;Cite&gt;&lt;Author&gt;Popham&lt;/Author&gt;&lt;Year&gt;1997&lt;/Year&gt;&lt;RecNum&gt;5&lt;/RecNum&gt;&lt;DisplayText&gt;(Popham, 1997)&lt;/DisplayText&gt;&lt;record&gt;&lt;rec-number&gt;5&lt;/rec-number&gt;&lt;foreign-keys&gt;&lt;key app="EN" db-id="rzz2wefv4rrf5qev95svtv0vx5s0xa2vxfzz" timestamp="1443468893"&gt;5&lt;/key&gt;&lt;/foreign-keys&gt;&lt;ref-type name="Journal Article"&gt;17&lt;/ref-type&gt;&lt;contributors&gt;&lt;authors&gt;&lt;author&gt;Popham, W.J. &lt;/author&gt;&lt;/authors&gt;&lt;/contributors&gt;&lt;titles&gt;&lt;title&gt;Consequential Validity: Right Concern - Wrong Concept&lt;/title&gt;&lt;secondary-title&gt;Educational Measurement: Issues and Practice&lt;/secondary-title&gt;&lt;/titles&gt;&lt;periodical&gt;&lt;full-title&gt;Educational Measurement: Issues and Practice&lt;/full-title&gt;&lt;/periodical&gt;&lt;pages&gt;9-13&lt;/pages&gt;&lt;volume&gt;16&lt;/volume&gt;&lt;number&gt;2&lt;/number&gt;&lt;dates&gt;&lt;year&gt;1997&lt;/year&gt;&lt;/dates&gt;&lt;urls&gt;&lt;/urls&gt;&lt;electronic-resource-num&gt;10.1111/j.1745-3992.1997.tb00586.x&lt;/electronic-resource-num&gt;&lt;/record&gt;&lt;/Cite&gt;&lt;/EndNote&gt;</w:instrText>
      </w:r>
      <w:r w:rsidR="005846A3" w:rsidRPr="003B7BCA">
        <w:fldChar w:fldCharType="separate"/>
      </w:r>
      <w:r w:rsidR="005846A3" w:rsidRPr="003B7BCA">
        <w:rPr>
          <w:noProof/>
        </w:rPr>
        <w:t>(Popham, 1997)</w:t>
      </w:r>
      <w:r w:rsidR="005846A3" w:rsidRPr="003B7BCA">
        <w:fldChar w:fldCharType="end"/>
      </w:r>
      <w:r w:rsidR="005846A3" w:rsidRPr="003B7BCA">
        <w:t xml:space="preserve">, </w:t>
      </w:r>
      <w:r w:rsidR="00371AE6">
        <w:t>they</w:t>
      </w:r>
      <w:r w:rsidR="005846A3" w:rsidRPr="003B7BCA">
        <w:t xml:space="preserve"> </w:t>
      </w:r>
      <w:r w:rsidR="000A0F57" w:rsidRPr="003B7BCA">
        <w:t>must</w:t>
      </w:r>
      <w:r w:rsidR="005846A3" w:rsidRPr="003B7BCA">
        <w:t xml:space="preserve"> be carefully considered</w:t>
      </w:r>
      <w:r w:rsidR="00F307AE" w:rsidRPr="003B7BCA">
        <w:t xml:space="preserve"> during test development and subsequent use—as </w:t>
      </w:r>
      <w:r w:rsidR="000A0F57" w:rsidRPr="003B7BCA">
        <w:t>test</w:t>
      </w:r>
      <w:r w:rsidR="00F307AE" w:rsidRPr="003B7BCA">
        <w:t xml:space="preserve"> </w:t>
      </w:r>
      <w:r w:rsidR="00B213DB" w:rsidRPr="003B7BCA">
        <w:t xml:space="preserve">validation </w:t>
      </w:r>
      <w:r w:rsidR="005846A3" w:rsidRPr="003B7BCA">
        <w:t>depends</w:t>
      </w:r>
      <w:r w:rsidR="008637D5" w:rsidRPr="003B7BCA">
        <w:t xml:space="preserve"> </w:t>
      </w:r>
      <w:r w:rsidR="005846A3" w:rsidRPr="003B7BCA">
        <w:t>on</w:t>
      </w:r>
      <w:r w:rsidR="008637D5" w:rsidRPr="003B7BCA">
        <w:t xml:space="preserve"> the decision</w:t>
      </w:r>
      <w:r w:rsidR="00F307AE" w:rsidRPr="003B7BCA">
        <w:t xml:space="preserve">-making procedures employed in both contexts </w:t>
      </w:r>
      <w:r w:rsidR="008637D5" w:rsidRPr="003B7BCA">
        <w:fldChar w:fldCharType="begin"/>
      </w:r>
      <w:r w:rsidR="00985904" w:rsidRPr="003B7BCA">
        <w:instrText xml:space="preserve"> ADDIN EN.CITE &lt;EndNote&gt;&lt;Cite&gt;&lt;Author&gt;Kane&lt;/Author&gt;&lt;Year&gt;2001&lt;/Year&gt;&lt;RecNum&gt;6&lt;/RecNum&gt;&lt;DisplayText&gt;(Kane, 2001)&lt;/DisplayText&gt;&lt;record&gt;&lt;rec-number&gt;6&lt;/rec-number&gt;&lt;foreign-keys&gt;&lt;key app="EN" db-id="rzz2wefv4rrf5qev95svtv0vx5s0xa2vxfzz" timestamp="1443468893"&gt;6&lt;/key&gt;&lt;/foreign-keys&gt;&lt;ref-type name="Journal Article"&gt;17&lt;/ref-type&gt;&lt;contributors&gt;&lt;authors&gt;&lt;author&gt;Kane, M.T.&lt;/author&gt;&lt;/authors&gt;&lt;/contributors&gt;&lt;titles&gt;&lt;title&gt;Current concerns in validity theory&lt;/title&gt;&lt;secondary-title&gt;Journal of Educational Measurement&lt;/secondary-title&gt;&lt;/titles&gt;&lt;periodical&gt;&lt;full-title&gt;Journal of Educational Measurement&lt;/full-title&gt;&lt;/periodical&gt;&lt;pages&gt;319-342&lt;/pages&gt;&lt;volume&gt;38&lt;/volume&gt;&lt;number&gt;4&lt;/number&gt;&lt;dates&gt;&lt;year&gt;2001&lt;/year&gt;&lt;/dates&gt;&lt;urls&gt;&lt;/urls&gt;&lt;/record&gt;&lt;/Cite&gt;&lt;/EndNote&gt;</w:instrText>
      </w:r>
      <w:r w:rsidR="008637D5" w:rsidRPr="003B7BCA">
        <w:fldChar w:fldCharType="separate"/>
      </w:r>
      <w:r w:rsidR="008637D5" w:rsidRPr="003B7BCA">
        <w:rPr>
          <w:noProof/>
        </w:rPr>
        <w:t>(Kane, 2001)</w:t>
      </w:r>
      <w:r w:rsidR="008637D5" w:rsidRPr="003B7BCA">
        <w:fldChar w:fldCharType="end"/>
      </w:r>
      <w:r w:rsidR="008637D5" w:rsidRPr="003B7BCA">
        <w:t>.</w:t>
      </w:r>
      <w:r w:rsidR="00B213DB" w:rsidRPr="003B7BCA">
        <w:t xml:space="preserve"> Further, key organizations and f</w:t>
      </w:r>
      <w:r w:rsidR="00B13FB8">
        <w:t xml:space="preserve">ederal peer review requires </w:t>
      </w:r>
      <w:r w:rsidR="00B213DB" w:rsidRPr="003B7BCA">
        <w:t xml:space="preserve">documentation of consequential validity </w:t>
      </w:r>
      <w:r w:rsidR="00371AE6">
        <w:t xml:space="preserve">in reporting </w:t>
      </w:r>
      <w:r w:rsidR="00B213DB"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 </w:instrText>
      </w:r>
      <w:r w:rsidR="00681C4E" w:rsidRPr="003B7BCA">
        <w:fldChar w:fldCharType="begin">
          <w:fldData xml:space="preserve">PEVuZE5vdGU+PENpdGU+PEF1dGhvcj5BRVJBPC9BdXRob3I+PFllYXI+MTk5OTwvWWVhcj48UmVj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</w:fldData>
        </w:fldChar>
      </w:r>
      <w:r w:rsidR="00681C4E" w:rsidRPr="003B7BCA">
        <w:instrText xml:space="preserve"> ADDIN EN.CITE.DATA </w:instrText>
      </w:r>
      <w:r w:rsidR="00681C4E" w:rsidRPr="003B7BCA">
        <w:fldChar w:fldCharType="end"/>
      </w:r>
      <w:r w:rsidR="00B213DB" w:rsidRPr="003B7BCA">
        <w:fldChar w:fldCharType="separate"/>
      </w:r>
      <w:r w:rsidR="00B213DB" w:rsidRPr="003B7BCA">
        <w:rPr>
          <w:noProof/>
        </w:rPr>
        <w:t>(AERA, NCME, &amp; APA, 1999; OESE, 2007)</w:t>
      </w:r>
      <w:r w:rsidR="00B213DB" w:rsidRPr="003B7BCA">
        <w:fldChar w:fldCharType="end"/>
      </w:r>
      <w:r w:rsidR="00B213DB" w:rsidRPr="003B7BCA">
        <w:t>.</w:t>
      </w:r>
      <w:r w:rsidR="00985904" w:rsidRPr="003B7BCA">
        <w:t xml:space="preserve"> </w:t>
      </w:r>
    </w:p>
    <w:p w14:paraId="00E90916" w14:textId="6075CE18" w:rsidR="00DD362B" w:rsidRPr="003B7BCA" w:rsidRDefault="00DD362B" w:rsidP="00F307AE">
      <w:pPr>
        <w:spacing w:line="480" w:lineRule="auto"/>
        <w:ind w:firstLine="720"/>
      </w:pPr>
      <w:r w:rsidRPr="003B7BCA">
        <w:t xml:space="preserve">The </w:t>
      </w:r>
      <w:r w:rsidR="000A0F57" w:rsidRPr="003B7BCA">
        <w:t xml:space="preserve">administered survey questions </w:t>
      </w:r>
      <w:r w:rsidRPr="003B7BCA">
        <w:t>were framed based upon current consequential validity approaches for alternate assessments in the literature</w:t>
      </w:r>
      <w:r w:rsidR="00985904" w:rsidRPr="003B7BCA">
        <w:t xml:space="preserve"> </w:t>
      </w:r>
      <w:r w:rsidR="00985904" w:rsidRPr="003B7BCA">
        <w:fldChar w:fldCharType="begin"/>
      </w:r>
      <w:r w:rsidR="00985904" w:rsidRPr="003B7BCA">
        <w:instrText xml:space="preserve"> ADDIN EN.CITE &lt;EndNote&gt;&lt;Cite&gt;&lt;Author&gt;Lane&lt;/Author&gt;&lt;Year&gt;1998&lt;/Year&gt;&lt;RecNum&gt;3&lt;/RecNum&gt;&lt;Prefix&gt;e.g.`, &lt;/Prefix&gt;&lt;DisplayText&gt;(e.g., Lane, Parke, &amp;amp; Stone, 1998; Wilson, 2005)&lt;/DisplayText&gt;&lt;record&gt;&lt;rec-number&gt;3&lt;/rec-number&gt;&lt;foreign-keys&gt;&lt;key app="EN" db-id="rzz2wefv4rrf5qev95svtv0vx5s0xa2vxfzz" timestamp="1443468436"&gt;3&lt;/key&gt;&lt;/foreign-keys&gt;&lt;ref-type name="Journal Article"&gt;17&lt;/ref-type&gt;&lt;contributors&gt;&lt;authors&gt;&lt;author&gt;Lane, S.&lt;/author&gt;&lt;author&gt;Parke, C.S.&lt;/author&gt;&lt;author&gt;Stone, C.A.&lt;/author&gt;&lt;/authors&gt;&lt;/contributors&gt;&lt;titles&gt;&lt;title&gt;A framework for evaluating the consequences: Programs of assessment&lt;/title&gt;&lt;secondary-title&gt;Educational Measurement: Issues and Practice&lt;/secondary-title&gt;&lt;/titles&gt;&lt;periodical&gt;&lt;full-title&gt;Educational Measurement: Issues and Practice&lt;/full-title&gt;&lt;/periodical&gt;&lt;pages&gt;24-28&lt;/pages&gt;&lt;volume&gt;17&lt;/volume&gt;&lt;number&gt;2&lt;/number&gt;&lt;dates&gt;&lt;year&gt;1998&lt;/year&gt;&lt;/dates&gt;&lt;urls&gt;&lt;/urls&gt;&lt;/record&gt;&lt;/Cite&gt;&lt;Cite&gt;&lt;Author&gt;Wilson&lt;/Author&gt;&lt;Year&gt;2005&lt;/Year&gt;&lt;RecNum&gt;4&lt;/RecNum&gt;&lt;record&gt;&lt;rec-number&gt;4&lt;/rec-number&gt;&lt;foreign-keys&gt;&lt;key app="EN" db-id="rzz2wefv4rrf5qev95svtv0vx5s0xa2vxfzz" timestamp="1443468436"&gt;4&lt;/key&gt;&lt;/foreign-keys&gt;&lt;ref-type name="Book Section"&gt;5&lt;/ref-type&gt;&lt;contributors&gt;&lt;authors&gt;&lt;author&gt;Wilson, M.&lt;/author&gt;&lt;/authors&gt;&lt;/contributors&gt;&lt;titles&gt;&lt;title&gt;Construct maps&lt;/title&gt;&lt;secondary-title&gt;Constructing Measures: An Item Response Modeling Approach&lt;/secondary-title&gt;&lt;/titles&gt;&lt;dates&gt;&lt;year&gt;2005&lt;/year&gt;&lt;/dates&gt;&lt;pub-location&gt;Mahwah, NJ&lt;/pub-location&gt;&lt;publisher&gt;Lawrence Ehrlbaum Associates, Inc.&lt;/publisher&gt;&lt;urls&gt;&lt;/urls&gt;&lt;/record&gt;&lt;/Cite&gt;&lt;/EndNote&gt;</w:instrText>
      </w:r>
      <w:r w:rsidR="00985904" w:rsidRPr="003B7BCA">
        <w:fldChar w:fldCharType="separate"/>
      </w:r>
      <w:r w:rsidR="00985904" w:rsidRPr="003B7BCA">
        <w:rPr>
          <w:noProof/>
        </w:rPr>
        <w:t>(e.g., Lane, Parke, &amp; Stone, 1998; Wilson, 2005)</w:t>
      </w:r>
      <w:r w:rsidR="00985904" w:rsidRPr="003B7BCA">
        <w:fldChar w:fldCharType="end"/>
      </w:r>
      <w:r w:rsidRPr="003B7BCA">
        <w:t xml:space="preserve">, </w:t>
      </w:r>
      <w:r w:rsidR="00985904" w:rsidRPr="003B7BCA">
        <w:t xml:space="preserve">and </w:t>
      </w:r>
      <w:r w:rsidR="00F307AE" w:rsidRPr="003B7BCA">
        <w:t xml:space="preserve">also </w:t>
      </w:r>
      <w:r w:rsidR="00985904" w:rsidRPr="003B7BCA">
        <w:t>targeted</w:t>
      </w:r>
      <w:r w:rsidRPr="003B7BCA">
        <w:t xml:space="preserve"> issues that </w:t>
      </w:r>
      <w:r w:rsidR="00985904" w:rsidRPr="003B7BCA">
        <w:t>were</w:t>
      </w:r>
      <w:r w:rsidRPr="003B7BCA">
        <w:t xml:space="preserve"> of specific value in Oregon. </w:t>
      </w:r>
      <w:r w:rsidR="00C667C3" w:rsidRPr="003B7BCA">
        <w:rPr>
          <w:rFonts w:cs="Times New Roman"/>
        </w:rPr>
        <w:t xml:space="preserve">A thorough </w:t>
      </w:r>
      <w:r w:rsidR="000E1264" w:rsidRPr="003B7BCA">
        <w:rPr>
          <w:rFonts w:cs="Times New Roman"/>
        </w:rPr>
        <w:t>description</w:t>
      </w:r>
      <w:r w:rsidR="00C667C3" w:rsidRPr="003B7BCA">
        <w:rPr>
          <w:rFonts w:cs="Times New Roman"/>
        </w:rPr>
        <w:t xml:space="preserve"> of the theoretical framework behind the approach to consequential validity</w:t>
      </w:r>
      <w:r w:rsidR="000E1264" w:rsidRPr="003B7BCA">
        <w:rPr>
          <w:rFonts w:cs="Times New Roman"/>
        </w:rPr>
        <w:t xml:space="preserve"> in this study can be found in the</w:t>
      </w:r>
      <w:r w:rsidRPr="003B7BCA">
        <w:rPr>
          <w:rFonts w:cs="Times New Roman"/>
        </w:rPr>
        <w:t xml:space="preserve"> 2013-</w:t>
      </w:r>
      <w:r w:rsidR="00B83316" w:rsidRPr="003B7BCA">
        <w:rPr>
          <w:rFonts w:cs="Times New Roman"/>
        </w:rPr>
        <w:t xml:space="preserve">14 technical report </w:t>
      </w:r>
      <w:r w:rsidR="00B83316" w:rsidRPr="003B7BCA">
        <w:rPr>
          <w:rFonts w:cs="Times New Roman"/>
        </w:rPr>
        <w:fldChar w:fldCharType="begin"/>
      </w:r>
      <w:r w:rsidR="00B83316" w:rsidRPr="003B7BCA">
        <w:rPr>
          <w:rFonts w:cs="Times New Roman"/>
        </w:rPr>
        <w:instrText xml:space="preserve"> ADDIN EN.CITE &lt;EndNote&gt;&lt;Cite&gt;&lt;Author&gt;Oregon Department of Education&lt;/Author&gt;&lt;Year&gt;2014&lt;/Year&gt;&lt;RecNum&gt;8&lt;/RecNum&gt;&lt;DisplayText&gt;(Oregon Department of Education, 2014)&lt;/DisplayText&gt;&lt;record&gt;&lt;rec-number&gt;8&lt;/rec-number&gt;&lt;foreign-keys&gt;&lt;key app="EN" db-id="ewdxwezsa0dw5fearv6p9ft7szawdsdddasr" timestamp="1443559556"&gt;8&lt;/key&gt;&lt;/foreign-keys&gt;&lt;ref-type name="Report"&gt;27&lt;/ref-type&gt;&lt;contributors&gt;&lt;authors&gt;&lt;author&gt;Oregon Department of Education,&lt;/author&gt;&lt;/authors&gt;&lt;/contributors&gt;&lt;titles&gt;&lt;title&gt;2013-2014 technical report: Oregon&amp;apos;s alternate assessment system&lt;/title&gt;&lt;/titles&gt;&lt;dates&gt;&lt;year&gt;2014&lt;/year&gt;&lt;/dates&gt;&lt;pub-location&gt;Salem, OR&lt;/pub-location&gt;&lt;publisher&gt;Behavioral Research and Teaching, University of Oregon&lt;/publisher&gt;&lt;urls&gt;&lt;/urls&gt;&lt;/record&gt;&lt;/Cite&gt;&lt;/EndNote&gt;</w:instrText>
      </w:r>
      <w:r w:rsidR="00B83316" w:rsidRPr="003B7BCA">
        <w:rPr>
          <w:rFonts w:cs="Times New Roman"/>
        </w:rPr>
        <w:fldChar w:fldCharType="separate"/>
      </w:r>
      <w:r w:rsidR="00B83316" w:rsidRPr="003B7BCA">
        <w:rPr>
          <w:rFonts w:cs="Times New Roman"/>
          <w:noProof/>
        </w:rPr>
        <w:t>(Oregon Department of Education, 2014)</w:t>
      </w:r>
      <w:r w:rsidR="00B83316" w:rsidRPr="003B7BCA">
        <w:rPr>
          <w:rFonts w:cs="Times New Roman"/>
        </w:rPr>
        <w:fldChar w:fldCharType="end"/>
      </w:r>
      <w:r w:rsidRPr="003B7BCA">
        <w:rPr>
          <w:rFonts w:cs="Times New Roman"/>
        </w:rPr>
        <w:t>.</w:t>
      </w:r>
      <w:r w:rsidR="00F307AE" w:rsidRPr="003B7BCA">
        <w:rPr>
          <w:rFonts w:cs="Times New Roman"/>
        </w:rPr>
        <w:t xml:space="preserve"> </w:t>
      </w:r>
      <w:r w:rsidR="00F307AE" w:rsidRPr="003B7BCA">
        <w:t>201</w:t>
      </w:r>
      <w:r w:rsidR="00F93105">
        <w:t>7</w:t>
      </w:r>
      <w:r w:rsidR="00F307AE" w:rsidRPr="003B7BCA">
        <w:t>-1</w:t>
      </w:r>
      <w:r w:rsidR="00F93105">
        <w:t>8</w:t>
      </w:r>
      <w:r w:rsidR="00F307AE" w:rsidRPr="003B7BCA">
        <w:t xml:space="preserve"> </w:t>
      </w:r>
      <w:r w:rsidR="00F307AE" w:rsidRPr="003B7BCA">
        <w:rPr>
          <w:rFonts w:cs="Times New Roman"/>
        </w:rPr>
        <w:t xml:space="preserve">consequential validity survey </w:t>
      </w:r>
      <w:r w:rsidR="00590CE2">
        <w:rPr>
          <w:rFonts w:cs="Times New Roman"/>
        </w:rPr>
        <w:t xml:space="preserve">results </w:t>
      </w:r>
      <w:r w:rsidR="00F307AE" w:rsidRPr="003B7BCA">
        <w:rPr>
          <w:rFonts w:cs="Times New Roman"/>
        </w:rPr>
        <w:t xml:space="preserve">are reported </w:t>
      </w:r>
      <w:r w:rsidR="00590CE2">
        <w:rPr>
          <w:rFonts w:cs="Times New Roman"/>
        </w:rPr>
        <w:t>below.</w:t>
      </w:r>
    </w:p>
    <w:p w14:paraId="4AEC6FAE" w14:textId="0D098F64" w:rsidR="00DD362B" w:rsidRPr="003B7BCA" w:rsidRDefault="009C0090" w:rsidP="009C0090">
      <w:pPr>
        <w:spacing w:line="480" w:lineRule="auto"/>
        <w:jc w:val="center"/>
        <w:rPr>
          <w:rFonts w:cs="Times New Roman"/>
          <w:b/>
        </w:rPr>
      </w:pPr>
      <w:r w:rsidRPr="003B7BCA">
        <w:rPr>
          <w:rFonts w:cs="Times New Roman"/>
          <w:b/>
        </w:rPr>
        <w:t>Methods</w:t>
      </w:r>
    </w:p>
    <w:p w14:paraId="3BBBD718" w14:textId="77777777" w:rsidR="00B83316" w:rsidRPr="003B7BCA" w:rsidRDefault="00B83316" w:rsidP="00B83316">
      <w:pPr>
        <w:spacing w:line="480" w:lineRule="auto"/>
        <w:rPr>
          <w:b/>
        </w:rPr>
      </w:pPr>
      <w:r w:rsidRPr="003B7BCA">
        <w:rPr>
          <w:b/>
        </w:rPr>
        <w:t>Participants</w:t>
      </w:r>
    </w:p>
    <w:p w14:paraId="3FF3192A" w14:textId="14DAB924" w:rsidR="001A3DB4" w:rsidRPr="003B7BCA" w:rsidRDefault="00B83316" w:rsidP="001A3DB4">
      <w:pPr>
        <w:spacing w:line="480" w:lineRule="auto"/>
        <w:rPr>
          <w:rFonts w:cs="Times New Roman"/>
          <w:b/>
        </w:rPr>
      </w:pPr>
      <w:r w:rsidRPr="003B7BCA">
        <w:tab/>
        <w:t xml:space="preserve">Responses </w:t>
      </w:r>
      <w:r w:rsidR="00710BD3">
        <w:t xml:space="preserve">to survey items </w:t>
      </w:r>
      <w:r w:rsidRPr="003B7BCA">
        <w:t xml:space="preserve">were received from </w:t>
      </w:r>
      <w:r w:rsidR="00C46CC2">
        <w:t>1</w:t>
      </w:r>
      <w:r w:rsidR="00770FDA">
        <w:t>91</w:t>
      </w:r>
      <w:r w:rsidRPr="003B7BCA">
        <w:t xml:space="preserve"> participants, though </w:t>
      </w:r>
      <w:r w:rsidR="00DF42EC" w:rsidRPr="003B7BCA">
        <w:t xml:space="preserve">some </w:t>
      </w:r>
      <w:r w:rsidRPr="003B7BCA">
        <w:t>entries included no data</w:t>
      </w:r>
      <w:r w:rsidR="0055156D" w:rsidRPr="003B7BCA">
        <w:t>,</w:t>
      </w:r>
      <w:r w:rsidRPr="003B7BCA">
        <w:t xml:space="preserve"> and</w:t>
      </w:r>
      <w:r w:rsidR="0055156D" w:rsidRPr="003B7BCA">
        <w:t xml:space="preserve"> thus, </w:t>
      </w:r>
      <w:r w:rsidR="0055156D" w:rsidRPr="003B7BCA">
        <w:rPr>
          <w:i/>
        </w:rPr>
        <w:t>n</w:t>
      </w:r>
      <w:r w:rsidR="0055156D" w:rsidRPr="003B7BCA">
        <w:t xml:space="preserve">-sizes range across survey </w:t>
      </w:r>
      <w:r w:rsidR="001E5869" w:rsidRPr="003B7BCA">
        <w:t xml:space="preserve">demographic responses and </w:t>
      </w:r>
      <w:r w:rsidR="0055156D" w:rsidRPr="003B7BCA">
        <w:t>items</w:t>
      </w:r>
      <w:r w:rsidRPr="003B7BCA">
        <w:t xml:space="preserve">. </w:t>
      </w:r>
      <w:r w:rsidR="00710BD3">
        <w:t xml:space="preserve">All demographics questions were gathered toward the end of the survey, as some attrition was expected and we prioritized items to proceed in order of utility. </w:t>
      </w:r>
      <w:r w:rsidRPr="003B7BCA">
        <w:t xml:space="preserve">The </w:t>
      </w:r>
      <w:r w:rsidR="00C46CC2">
        <w:t>1</w:t>
      </w:r>
      <w:r w:rsidR="00770FDA">
        <w:t>91</w:t>
      </w:r>
      <w:r w:rsidR="008C030E">
        <w:t xml:space="preserve"> </w:t>
      </w:r>
      <w:r w:rsidR="0055156D" w:rsidRPr="003B7BCA">
        <w:lastRenderedPageBreak/>
        <w:t xml:space="preserve">respondents, </w:t>
      </w:r>
      <w:r w:rsidR="00710BD3">
        <w:t>all of whom</w:t>
      </w:r>
      <w:r w:rsidR="0055156D" w:rsidRPr="003B7BCA">
        <w:t xml:space="preserve"> were Qualified Assessors (QAs</w:t>
      </w:r>
      <w:r w:rsidR="00A961FF" w:rsidRPr="003B7BCA">
        <w:t xml:space="preserve">; </w:t>
      </w:r>
      <w:r w:rsidR="00196BC2" w:rsidRPr="003B7BCA">
        <w:rPr>
          <w:i/>
        </w:rPr>
        <w:t xml:space="preserve">n </w:t>
      </w:r>
      <w:r w:rsidR="00196BC2" w:rsidRPr="003B7BCA">
        <w:t xml:space="preserve">= </w:t>
      </w:r>
      <w:r w:rsidR="00770FDA">
        <w:t>161</w:t>
      </w:r>
      <w:r w:rsidR="00196BC2" w:rsidRPr="003B7BCA">
        <w:t xml:space="preserve">, </w:t>
      </w:r>
      <w:r w:rsidR="00C46CC2">
        <w:t>8</w:t>
      </w:r>
      <w:r w:rsidR="00770FDA">
        <w:t>4.3</w:t>
      </w:r>
      <w:r w:rsidR="00A961FF" w:rsidRPr="003B7BCA">
        <w:t>%</w:t>
      </w:r>
      <w:r w:rsidR="00710BD3">
        <w:t xml:space="preserve">), </w:t>
      </w:r>
      <w:r w:rsidR="0055156D" w:rsidRPr="003B7BCA">
        <w:t>Qualified Trainers (QTs</w:t>
      </w:r>
      <w:r w:rsidR="00A961FF" w:rsidRPr="003B7BCA">
        <w:t xml:space="preserve">; </w:t>
      </w:r>
      <w:r w:rsidR="00196BC2" w:rsidRPr="003B7BCA">
        <w:rPr>
          <w:i/>
        </w:rPr>
        <w:t xml:space="preserve">n </w:t>
      </w:r>
      <w:r w:rsidR="00196BC2" w:rsidRPr="003B7BCA">
        <w:t xml:space="preserve">= </w:t>
      </w:r>
      <w:r w:rsidR="00770FDA">
        <w:t>30</w:t>
      </w:r>
      <w:r w:rsidR="00196BC2" w:rsidRPr="003B7BCA">
        <w:t xml:space="preserve">, </w:t>
      </w:r>
      <w:r w:rsidR="00770FDA">
        <w:t>15.7</w:t>
      </w:r>
      <w:r w:rsidR="00A961FF" w:rsidRPr="003B7BCA">
        <w:t>%</w:t>
      </w:r>
      <w:r w:rsidR="0055156D" w:rsidRPr="003B7BCA">
        <w:t>)</w:t>
      </w:r>
      <w:r w:rsidR="00710BD3">
        <w:t xml:space="preserve">, </w:t>
      </w:r>
      <w:r w:rsidR="0055156D" w:rsidRPr="003B7BCA">
        <w:t xml:space="preserve">in the or.k12test.com database, </w:t>
      </w:r>
      <w:r w:rsidR="0055156D" w:rsidRPr="00C4784A">
        <w:t>represent</w:t>
      </w:r>
      <w:r w:rsidR="001E5869" w:rsidRPr="00C4784A">
        <w:t>ed</w:t>
      </w:r>
      <w:r w:rsidRPr="00C4784A">
        <w:t xml:space="preserve"> </w:t>
      </w:r>
      <w:r w:rsidR="00DF42EC" w:rsidRPr="00C4784A">
        <w:t>about</w:t>
      </w:r>
      <w:r w:rsidRPr="00C4784A">
        <w:t xml:space="preserve"> </w:t>
      </w:r>
      <w:r w:rsidR="00F93105">
        <w:t>1</w:t>
      </w:r>
      <w:r w:rsidR="00770FDA">
        <w:t>8</w:t>
      </w:r>
      <w:r w:rsidRPr="00C4784A">
        <w:t>% of the solicited respondents</w:t>
      </w:r>
      <w:r w:rsidR="001E5869" w:rsidRPr="00C4784A">
        <w:t xml:space="preserve"> in the state</w:t>
      </w:r>
      <w:r w:rsidR="00C62135">
        <w:t xml:space="preserve"> (</w:t>
      </w:r>
      <w:r w:rsidR="00F93105">
        <w:t>1</w:t>
      </w:r>
      <w:r w:rsidR="00770FDA">
        <w:t>5</w:t>
      </w:r>
      <w:r w:rsidR="00196BC2" w:rsidRPr="00C4784A">
        <w:t xml:space="preserve">% of </w:t>
      </w:r>
      <w:r w:rsidR="0021436B" w:rsidRPr="00C4784A">
        <w:t xml:space="preserve">available </w:t>
      </w:r>
      <w:r w:rsidR="00C62135">
        <w:t>QAs and 3</w:t>
      </w:r>
      <w:r w:rsidR="00770FDA">
        <w:t>0</w:t>
      </w:r>
      <w:r w:rsidR="00196BC2" w:rsidRPr="00C4784A">
        <w:t xml:space="preserve">% of </w:t>
      </w:r>
      <w:r w:rsidR="0021436B" w:rsidRPr="00C4784A">
        <w:t xml:space="preserve">available </w:t>
      </w:r>
      <w:r w:rsidR="00196BC2" w:rsidRPr="00C4784A">
        <w:t>QTs)</w:t>
      </w:r>
      <w:r w:rsidR="001E5869" w:rsidRPr="003B7BCA">
        <w:t xml:space="preserve">. </w:t>
      </w:r>
      <w:r w:rsidR="00CB0064">
        <w:t xml:space="preserve"> </w:t>
      </w:r>
      <w:r w:rsidRPr="003B7BCA">
        <w:t>Participants reflected age groups from 20</w:t>
      </w:r>
      <w:r w:rsidR="00183D17">
        <w:t>-50 and above</w:t>
      </w:r>
      <w:r w:rsidR="00C46CC2">
        <w:t xml:space="preserve">, </w:t>
      </w:r>
      <w:r w:rsidR="00614F25" w:rsidRPr="003B7BCA">
        <w:t>with most between 4</w:t>
      </w:r>
      <w:r w:rsidR="00C46CC2">
        <w:t>1</w:t>
      </w:r>
      <w:r w:rsidR="00614F25" w:rsidRPr="003B7BCA">
        <w:t>-</w:t>
      </w:r>
      <w:r w:rsidR="00C46CC2">
        <w:t>45</w:t>
      </w:r>
      <w:r w:rsidR="00614F25" w:rsidRPr="003B7BCA">
        <w:t xml:space="preserve"> (</w:t>
      </w:r>
      <w:r w:rsidR="00770FDA">
        <w:t>21.3</w:t>
      </w:r>
      <w:r w:rsidR="00614F25" w:rsidRPr="003B7BCA">
        <w:t>%) and 51</w:t>
      </w:r>
      <w:r w:rsidR="008B6404">
        <w:t xml:space="preserve"> and above</w:t>
      </w:r>
      <w:r w:rsidRPr="003B7BCA">
        <w:t xml:space="preserve"> </w:t>
      </w:r>
      <w:r w:rsidR="00614F25" w:rsidRPr="003B7BCA">
        <w:t>(</w:t>
      </w:r>
      <w:r w:rsidR="00C46CC2">
        <w:t>3</w:t>
      </w:r>
      <w:r w:rsidR="00770FDA">
        <w:t>6.,2</w:t>
      </w:r>
      <w:r w:rsidR="00614F25" w:rsidRPr="003B7BCA">
        <w:t xml:space="preserve">%) </w:t>
      </w:r>
      <w:r w:rsidR="007239F8">
        <w:t>years of age.</w:t>
      </w:r>
      <w:r w:rsidR="00614F25" w:rsidRPr="003B7BCA">
        <w:t xml:space="preserve"> </w:t>
      </w:r>
      <w:r w:rsidRPr="003B7BCA">
        <w:t xml:space="preserve">The sample represented all regions of the state, with most </w:t>
      </w:r>
      <w:r w:rsidR="00180C65">
        <w:t>respondents</w:t>
      </w:r>
      <w:r w:rsidRPr="003B7BCA">
        <w:t xml:space="preserve"> </w:t>
      </w:r>
      <w:r w:rsidR="000D14F7" w:rsidRPr="003B7BCA">
        <w:t>residing along the Nor</w:t>
      </w:r>
      <w:r w:rsidR="00180C65">
        <w:t>th and Central I-5 Corridors—</w:t>
      </w:r>
      <w:r w:rsidR="000D14F7" w:rsidRPr="003B7BCA">
        <w:t>Region 2 (</w:t>
      </w:r>
      <w:r w:rsidRPr="003B7BCA">
        <w:t xml:space="preserve">Portland, </w:t>
      </w:r>
      <w:r w:rsidR="000D14F7" w:rsidRPr="003B7BCA">
        <w:t xml:space="preserve">Beaverton, and Hillsboro areas; </w:t>
      </w:r>
      <w:r w:rsidR="00C46CC2">
        <w:t>42</w:t>
      </w:r>
      <w:r w:rsidR="00770FDA">
        <w:t>.3</w:t>
      </w:r>
      <w:r w:rsidRPr="003B7BCA">
        <w:t>%)</w:t>
      </w:r>
      <w:r w:rsidR="000D14F7" w:rsidRPr="003B7BCA">
        <w:t xml:space="preserve"> and Region 5 </w:t>
      </w:r>
      <w:r w:rsidR="000D14F7" w:rsidRPr="003B7BCA">
        <w:rPr>
          <w:color w:val="000000"/>
        </w:rPr>
        <w:t xml:space="preserve">(Eugene, Corvallis, Salem areas; </w:t>
      </w:r>
      <w:r w:rsidR="00770FDA">
        <w:rPr>
          <w:color w:val="000000"/>
        </w:rPr>
        <w:t>29.1</w:t>
      </w:r>
      <w:r w:rsidR="000D14F7" w:rsidRPr="003B7BCA">
        <w:rPr>
          <w:color w:val="000000"/>
        </w:rPr>
        <w:t>%)</w:t>
      </w:r>
      <w:r w:rsidR="00D53CDE" w:rsidRPr="003B7BCA">
        <w:rPr>
          <w:color w:val="000000"/>
        </w:rPr>
        <w:t>, respectively</w:t>
      </w:r>
      <w:r w:rsidRPr="003B7BCA">
        <w:t xml:space="preserve">. </w:t>
      </w:r>
      <w:r w:rsidR="008E2E1D" w:rsidRPr="003B7BCA">
        <w:t xml:space="preserve">Participants’ educational experience ranged from 0 to over 31 years, with the most </w:t>
      </w:r>
      <w:r w:rsidR="00180C65">
        <w:t>respondents</w:t>
      </w:r>
      <w:r w:rsidR="008E2E1D" w:rsidRPr="003B7BCA">
        <w:t xml:space="preserve"> having 1</w:t>
      </w:r>
      <w:r w:rsidR="009D6A59">
        <w:t>6-20</w:t>
      </w:r>
      <w:r w:rsidR="008E2E1D" w:rsidRPr="003B7BCA">
        <w:t xml:space="preserve"> years of experience (</w:t>
      </w:r>
      <w:r w:rsidR="009D6A59">
        <w:t>2</w:t>
      </w:r>
      <w:r w:rsidR="00770FDA">
        <w:t>2</w:t>
      </w:r>
      <w:r w:rsidR="008E2E1D" w:rsidRPr="003B7BCA">
        <w:t xml:space="preserve">%). </w:t>
      </w:r>
      <w:r w:rsidR="00710BD3">
        <w:t>Tables 1-6</w:t>
      </w:r>
      <w:r w:rsidRPr="003B7BCA">
        <w:t xml:space="preserve"> </w:t>
      </w:r>
      <w:r w:rsidR="00656143" w:rsidRPr="003B7BCA">
        <w:t>display</w:t>
      </w:r>
      <w:r w:rsidRPr="003B7BCA">
        <w:t xml:space="preserve"> </w:t>
      </w:r>
      <w:r w:rsidR="00656143" w:rsidRPr="003B7BCA">
        <w:t>descriptive</w:t>
      </w:r>
      <w:r w:rsidRPr="003B7BCA">
        <w:t xml:space="preserve"> statistics </w:t>
      </w:r>
      <w:r w:rsidR="00656143" w:rsidRPr="003B7BCA">
        <w:t>for</w:t>
      </w:r>
      <w:r w:rsidRPr="003B7BCA">
        <w:t xml:space="preserve"> </w:t>
      </w:r>
      <w:r w:rsidR="00656143" w:rsidRPr="003B7BCA">
        <w:t xml:space="preserve">the </w:t>
      </w:r>
      <w:r w:rsidRPr="003B7BCA">
        <w:t>sample demographics</w:t>
      </w:r>
      <w:r w:rsidR="006410A0">
        <w:t>, including sex, age, educational experience, region, educational role, and level of education</w:t>
      </w:r>
      <w:r w:rsidRPr="003B7BCA">
        <w:t>.</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42D765E7" w:rsidR="00681C4E" w:rsidRPr="003B7BCA" w:rsidRDefault="001A3DB4" w:rsidP="00770FDA">
      <w:pPr>
        <w:spacing w:line="480" w:lineRule="auto"/>
      </w:pPr>
      <w:r w:rsidRPr="00576F10">
        <w:tab/>
        <w:t xml:space="preserve">The Oregon Extended Assessment Consequential Validity Survey was distributed via the </w:t>
      </w:r>
      <w:r w:rsidR="00C46CC2">
        <w:t>Google Forms</w:t>
      </w:r>
      <w:r w:rsidR="00770FDA">
        <w:t xml:space="preserve"> system </w:t>
      </w:r>
      <w:r w:rsidRPr="00576F10">
        <w:t xml:space="preserve">from </w:t>
      </w:r>
      <w:r w:rsidR="00C46CC2">
        <w:t>May 20</w:t>
      </w:r>
      <w:r w:rsidR="00FC3EC5">
        <w:t>, 201</w:t>
      </w:r>
      <w:r w:rsidR="00770FDA">
        <w:t>9</w:t>
      </w:r>
      <w:r w:rsidRPr="00576F10">
        <w:t xml:space="preserve"> through </w:t>
      </w:r>
      <w:r w:rsidR="004168C9">
        <w:t xml:space="preserve">June </w:t>
      </w:r>
      <w:r w:rsidR="00C46CC2">
        <w:t>15</w:t>
      </w:r>
      <w:r w:rsidR="004168C9">
        <w:t>, 201</w:t>
      </w:r>
      <w:r w:rsidR="00770FDA">
        <w:t>9</w:t>
      </w:r>
      <w:r w:rsidRPr="00576F10">
        <w:t>. The survey</w:t>
      </w:r>
      <w:r w:rsidRPr="003B7BCA">
        <w:t xml:space="preserve"> link was distributed via O</w:t>
      </w:r>
      <w:r w:rsidR="009D3195">
        <w:t>RExt</w:t>
      </w:r>
      <w:r w:rsidRPr="003B7BCA">
        <w:t xml:space="preserve"> electronic mail listservs to </w:t>
      </w:r>
      <w:r w:rsidR="00770FDA">
        <w:t>10</w:t>
      </w:r>
      <w:r w:rsidR="008D3538">
        <w:t>67</w:t>
      </w:r>
      <w:r w:rsidR="00935724" w:rsidRPr="00FD5183">
        <w:t xml:space="preserve"> </w:t>
      </w:r>
      <w:r w:rsidRPr="00FD5183">
        <w:t xml:space="preserve">Qualified Assessors and </w:t>
      </w:r>
      <w:r w:rsidR="00576F10">
        <w:t>1</w:t>
      </w:r>
      <w:r w:rsidR="008D3538">
        <w:t>00</w:t>
      </w:r>
      <w:r w:rsidRPr="00FD5183">
        <w:t xml:space="preserve"> Qualified Trainers</w:t>
      </w:r>
      <w:r w:rsidRPr="003B7BCA">
        <w:t xml:space="preserve"> for the ORExt. Survey responses were downloaded in an Excel comma separated values file and analyzed </w:t>
      </w:r>
      <w:r w:rsidR="00935724" w:rsidRPr="003B7BCA">
        <w:t>descriptively in Excel</w:t>
      </w:r>
      <w:r w:rsidR="00FD7366">
        <w:t>.</w:t>
      </w:r>
    </w:p>
    <w:p w14:paraId="3DD6BDE2" w14:textId="1D4D0735" w:rsidR="001819B0" w:rsidRPr="003B7BCA" w:rsidRDefault="004D4685" w:rsidP="00770FDA">
      <w:pPr>
        <w:widowControl w:val="0"/>
        <w:autoSpaceDE w:val="0"/>
        <w:autoSpaceDN w:val="0"/>
        <w:adjustRightInd w:val="0"/>
        <w:spacing w:line="480" w:lineRule="auto"/>
        <w:ind w:firstLine="720"/>
      </w:pPr>
      <w:r w:rsidRPr="003B7BCA">
        <w:t xml:space="preserve">In addition to the </w:t>
      </w:r>
      <w:r w:rsidR="001729FB">
        <w:t>six</w:t>
      </w:r>
      <w:r w:rsidRPr="003B7BCA">
        <w:t xml:space="preserve"> demographic questions, t</w:t>
      </w:r>
      <w:r w:rsidR="00681C4E" w:rsidRPr="003B7BCA">
        <w:t xml:space="preserve">he </w:t>
      </w:r>
      <w:r w:rsidR="00557B91" w:rsidRPr="003B7BCA">
        <w:t>201</w:t>
      </w:r>
      <w:r w:rsidR="008D3538">
        <w:t>8</w:t>
      </w:r>
      <w:r w:rsidR="00557B91" w:rsidRPr="003B7BCA">
        <w:t>-201</w:t>
      </w:r>
      <w:r w:rsidR="008D3538">
        <w:t>9</w:t>
      </w:r>
      <w:r w:rsidR="00557B91" w:rsidRPr="003B7BCA">
        <w:t xml:space="preserve"> </w:t>
      </w:r>
      <w:r w:rsidRPr="003B7BCA">
        <w:t xml:space="preserve">Oregon Extended Assessment Consequential Validity Survey </w:t>
      </w:r>
      <w:r w:rsidR="00681C4E" w:rsidRPr="003B7BCA">
        <w:t xml:space="preserve">included </w:t>
      </w:r>
      <w:r w:rsidRPr="003B7BCA">
        <w:t xml:space="preserve">a total of </w:t>
      </w:r>
      <w:r w:rsidR="009C6AE0">
        <w:t>eight</w:t>
      </w:r>
      <w:r w:rsidR="009C6AE0" w:rsidRPr="003B7BCA">
        <w:t xml:space="preserve"> </w:t>
      </w:r>
      <w:r w:rsidR="00681C4E" w:rsidRPr="003B7BCA">
        <w:t xml:space="preserve">quantitative and </w:t>
      </w:r>
      <w:r w:rsidR="007711C9">
        <w:t>three</w:t>
      </w:r>
      <w:r w:rsidRPr="003B7BCA">
        <w:t xml:space="preserve"> </w:t>
      </w:r>
      <w:r w:rsidR="00681C4E" w:rsidRPr="003B7BCA">
        <w:t>qualitative items</w:t>
      </w:r>
      <w:r w:rsidRPr="003B7BCA">
        <w:t xml:space="preserve"> designed to gauge the impact of the ORExt test use</w:t>
      </w:r>
      <w:r w:rsidR="00681C4E" w:rsidRPr="003B7BCA">
        <w:t>.</w:t>
      </w:r>
      <w:r w:rsidR="00FD7366">
        <w:t xml:space="preserve"> The </w:t>
      </w:r>
      <w:r w:rsidR="00F26939">
        <w:t xml:space="preserve">seven </w:t>
      </w:r>
      <w:r w:rsidR="005B07B2" w:rsidRPr="003B7BCA">
        <w:t xml:space="preserve">positively-worded </w:t>
      </w:r>
      <w:r w:rsidRPr="003B7BCA">
        <w:t xml:space="preserve">quantitative items employed a four-point </w:t>
      </w:r>
      <w:r w:rsidR="001A3DB4" w:rsidRPr="003B7BCA">
        <w:t xml:space="preserve">scale </w:t>
      </w:r>
      <w:r w:rsidRPr="003B7BCA">
        <w:t>ranging from 1-4 (1</w:t>
      </w:r>
      <w:r w:rsidR="001A3DB4" w:rsidRPr="003B7BCA">
        <w:t xml:space="preserve"> = strongly </w:t>
      </w:r>
      <w:r w:rsidRPr="003B7BCA">
        <w:t>disagree, 2 = disagree, 3</w:t>
      </w:r>
      <w:r w:rsidR="001A3DB4" w:rsidRPr="003B7BCA">
        <w:t xml:space="preserve"> = </w:t>
      </w:r>
      <w:r w:rsidRPr="003B7BCA">
        <w:t>agree, and 4</w:t>
      </w:r>
      <w:r w:rsidR="001A3DB4" w:rsidRPr="003B7BCA">
        <w:t xml:space="preserve"> = strongly agree). </w:t>
      </w:r>
      <w:r w:rsidR="00F26939">
        <w:t>One</w:t>
      </w:r>
      <w:r w:rsidR="00E9346C">
        <w:t xml:space="preserve"> quantitative item </w:t>
      </w:r>
      <w:r w:rsidR="00351B85">
        <w:t xml:space="preserve">asked for a response by inputting </w:t>
      </w:r>
      <w:r w:rsidR="00916B49">
        <w:t>numerical values</w:t>
      </w:r>
      <w:r w:rsidR="00752FA2">
        <w:t xml:space="preserve"> for</w:t>
      </w:r>
      <w:r w:rsidR="00351B85">
        <w:t xml:space="preserve"> hours and minutes.</w:t>
      </w:r>
      <w:r w:rsidR="00BD6CFF">
        <w:t xml:space="preserve"> </w:t>
      </w:r>
      <w:r w:rsidR="00FD7366">
        <w:t>There</w:t>
      </w:r>
      <w:r w:rsidRPr="003B7BCA">
        <w:t xml:space="preserve"> were </w:t>
      </w:r>
      <w:r w:rsidR="00897BFE">
        <w:t xml:space="preserve">three </w:t>
      </w:r>
      <w:r w:rsidR="001A3DB4" w:rsidRPr="003B7BCA">
        <w:lastRenderedPageBreak/>
        <w:t>qualitative, open-ended response questions.</w:t>
      </w:r>
    </w:p>
    <w:p w14:paraId="294B1D62" w14:textId="12210C57" w:rsidR="001A3DB4" w:rsidRPr="003B7BCA" w:rsidRDefault="00E14723" w:rsidP="00E14723">
      <w:pPr>
        <w:spacing w:line="480" w:lineRule="auto"/>
        <w:jc w:val="center"/>
        <w:rPr>
          <w:b/>
        </w:rPr>
      </w:pPr>
      <w:r w:rsidRPr="003B7BCA">
        <w:rPr>
          <w:b/>
        </w:rPr>
        <w:t>Results</w:t>
      </w:r>
    </w:p>
    <w:p w14:paraId="1DB518D0" w14:textId="703F1352" w:rsidR="006F564E" w:rsidRPr="003B7BCA" w:rsidRDefault="0095766B" w:rsidP="006F564E">
      <w:pPr>
        <w:spacing w:line="480" w:lineRule="auto"/>
        <w:ind w:firstLine="720"/>
      </w:pPr>
      <w:r>
        <w:t>Quantitative</w:t>
      </w:r>
      <w:r w:rsidR="00FE3541" w:rsidRPr="003B7BCA">
        <w:t xml:space="preserve"> and qualitative </w:t>
      </w:r>
      <w:r w:rsidR="006F564E" w:rsidRPr="003B7BCA">
        <w:t xml:space="preserve">results </w:t>
      </w:r>
      <w:r w:rsidR="00557B91" w:rsidRPr="003B7BCA">
        <w:t>from the 201</w:t>
      </w:r>
      <w:r w:rsidR="008D3538">
        <w:t>8</w:t>
      </w:r>
      <w:r w:rsidR="00557B91" w:rsidRPr="003B7BCA">
        <w:t>-201</w:t>
      </w:r>
      <w:r w:rsidR="008D3538">
        <w:t>9</w:t>
      </w:r>
      <w:r w:rsidR="00557B91" w:rsidRPr="003B7BCA">
        <w:t xml:space="preserve"> Oregon Extended Assessment Consequential Validity Survey </w:t>
      </w:r>
      <w:r w:rsidR="006F564E" w:rsidRPr="003B7BCA">
        <w:t>are presented, respectively.</w:t>
      </w:r>
    </w:p>
    <w:p w14:paraId="445BD5AC" w14:textId="59409586" w:rsidR="00E14723" w:rsidRPr="00183AEA" w:rsidRDefault="006F564E" w:rsidP="00E14723">
      <w:pPr>
        <w:spacing w:line="480" w:lineRule="auto"/>
        <w:rPr>
          <w:b/>
        </w:rPr>
      </w:pPr>
      <w:r w:rsidRPr="00372C60">
        <w:rPr>
          <w:b/>
        </w:rPr>
        <w:t>Quantitative</w:t>
      </w:r>
    </w:p>
    <w:p w14:paraId="6B245ABC" w14:textId="546EA55C" w:rsidR="00971B82" w:rsidRPr="0086417A" w:rsidRDefault="005F74F4" w:rsidP="005F74F4">
      <w:pPr>
        <w:spacing w:line="480" w:lineRule="auto"/>
        <w:ind w:firstLine="720"/>
      </w:pPr>
      <w:r w:rsidRPr="00183AEA">
        <w:t>Because all quantitative items we</w:t>
      </w:r>
      <w:r w:rsidRPr="001F1A24">
        <w:t>re positively worded</w:t>
      </w:r>
      <w:r w:rsidR="003B6CF8">
        <w:t xml:space="preserve"> questions </w:t>
      </w:r>
      <w:r w:rsidR="0095766B">
        <w:t xml:space="preserve">with answer choices </w:t>
      </w:r>
      <w:r w:rsidR="003B6CF8">
        <w:t>on an ordinal scale, the mode</w:t>
      </w:r>
      <w:r w:rsidR="0095766B">
        <w:t>s of the responses a</w:t>
      </w:r>
      <w:r w:rsidR="007046A9">
        <w:t>re reported for interpretation.</w:t>
      </w:r>
    </w:p>
    <w:p w14:paraId="72A9E38B" w14:textId="12984B18" w:rsidR="000A1E85" w:rsidRDefault="009A2AC8" w:rsidP="00DE110D">
      <w:pPr>
        <w:spacing w:line="480" w:lineRule="auto"/>
        <w:ind w:firstLine="720"/>
      </w:pPr>
      <w:r w:rsidRPr="00D91E38">
        <w:t xml:space="preserve">In general, ORExt QAs and QTs </w:t>
      </w:r>
      <w:r w:rsidR="00B06FB6" w:rsidRPr="00673CAF">
        <w:t>deemed</w:t>
      </w:r>
      <w:r w:rsidRPr="00673CAF">
        <w:t xml:space="preserve"> </w:t>
      </w:r>
      <w:r w:rsidR="0095364A">
        <w:t xml:space="preserve">that the </w:t>
      </w:r>
      <w:r w:rsidRPr="00673CAF">
        <w:t xml:space="preserve">ORExt test items </w:t>
      </w:r>
      <w:r w:rsidR="0095364A">
        <w:t>were</w:t>
      </w:r>
      <w:r w:rsidRPr="00AA2EE5">
        <w:t xml:space="preserve"> easy to administer and score </w:t>
      </w:r>
      <w:r w:rsidR="000A6A1E">
        <w:t>[</w:t>
      </w:r>
      <w:r w:rsidR="00A94A45">
        <w:t xml:space="preserve">Item 1; </w:t>
      </w:r>
      <w:r w:rsidR="000A6A1E" w:rsidRPr="00B51898">
        <w:rPr>
          <w:i/>
        </w:rPr>
        <w:t>mode</w:t>
      </w:r>
      <w:r w:rsidR="000A6A1E">
        <w:t xml:space="preserve"> = </w:t>
      </w:r>
      <w:r w:rsidR="006470C1" w:rsidRPr="00673CAF">
        <w:t>Strongly Agree</w:t>
      </w:r>
      <w:r w:rsidR="007046A9">
        <w:t xml:space="preserve"> or Agree </w:t>
      </w:r>
      <w:r w:rsidR="000A6A1E">
        <w:t>(</w:t>
      </w:r>
      <w:r w:rsidR="007046A9">
        <w:t>9</w:t>
      </w:r>
      <w:r w:rsidR="008D3538">
        <w:t>6.3</w:t>
      </w:r>
      <w:r w:rsidR="000A6A1E">
        <w:t>%)]</w:t>
      </w:r>
      <w:r w:rsidRPr="00673CAF">
        <w:t xml:space="preserve">. </w:t>
      </w:r>
      <w:r w:rsidR="006470C1" w:rsidRPr="00AA2EE5">
        <w:t>Respondents</w:t>
      </w:r>
      <w:r w:rsidRPr="00AE1DCF">
        <w:t xml:space="preserve"> also </w:t>
      </w:r>
      <w:r w:rsidR="006470C1" w:rsidRPr="00AE1DCF">
        <w:t>thought</w:t>
      </w:r>
      <w:r w:rsidR="0095364A">
        <w:t xml:space="preserve"> that</w:t>
      </w:r>
      <w:r w:rsidRPr="00AE1DCF">
        <w:t xml:space="preserve"> items were accessible for students who participated</w:t>
      </w:r>
      <w:r w:rsidR="006470C1" w:rsidRPr="00AE1DCF">
        <w:t xml:space="preserve"> in the ORExt</w:t>
      </w:r>
      <w:r w:rsidRPr="00AE1DCF">
        <w:t xml:space="preserve"> </w:t>
      </w:r>
      <w:r w:rsidR="000A6A1E">
        <w:t>[</w:t>
      </w:r>
      <w:r w:rsidR="00A94A45">
        <w:t>Item 2</w:t>
      </w:r>
      <w:r w:rsidR="00ED4104" w:rsidRPr="00AE1DCF">
        <w:t xml:space="preserve">; </w:t>
      </w:r>
      <w:r w:rsidR="000A6A1E">
        <w:rPr>
          <w:i/>
        </w:rPr>
        <w:t xml:space="preserve">mode = </w:t>
      </w:r>
      <w:r w:rsidR="007046A9" w:rsidRPr="00673CAF">
        <w:t>Strongly Agree</w:t>
      </w:r>
      <w:r w:rsidR="007046A9">
        <w:t xml:space="preserve"> or Agree </w:t>
      </w:r>
      <w:r w:rsidR="000A6A1E">
        <w:t>(</w:t>
      </w:r>
      <w:r w:rsidR="008D3538">
        <w:t>84.2</w:t>
      </w:r>
      <w:r w:rsidR="000A6A1E">
        <w:t>%)]</w:t>
      </w:r>
      <w:r w:rsidRPr="00AE1DCF">
        <w:t>.</w:t>
      </w:r>
      <w:r w:rsidR="003855F3" w:rsidRPr="00AE1DCF">
        <w:t xml:space="preserve"> </w:t>
      </w:r>
      <w:r w:rsidR="003855F3" w:rsidRPr="0047246C">
        <w:t xml:space="preserve">QAs and QTs, </w:t>
      </w:r>
      <w:r w:rsidR="00875C03" w:rsidRPr="00FD5183">
        <w:t>overall</w:t>
      </w:r>
      <w:r w:rsidR="00AE1DCF" w:rsidRPr="00FD5183">
        <w:t xml:space="preserve">, thought that the ORExt reflected the academic content their SWSCD </w:t>
      </w:r>
      <w:r w:rsidR="00A94A45">
        <w:t xml:space="preserve">should be </w:t>
      </w:r>
      <w:r w:rsidR="00AE1DCF" w:rsidRPr="00FD5183">
        <w:t>lea</w:t>
      </w:r>
      <w:r w:rsidR="001B4EE4">
        <w:t>r</w:t>
      </w:r>
      <w:r w:rsidR="00A94A45">
        <w:t xml:space="preserve">ning </w:t>
      </w:r>
      <w:r w:rsidR="000A6A1E">
        <w:t>[</w:t>
      </w:r>
      <w:r w:rsidR="00A94A45">
        <w:t>Item 3</w:t>
      </w:r>
      <w:r w:rsidR="00AE1DCF" w:rsidRPr="00FD5183">
        <w:t xml:space="preserve">; </w:t>
      </w:r>
      <w:r w:rsidR="000A6A1E" w:rsidRPr="00B51898">
        <w:rPr>
          <w:i/>
        </w:rPr>
        <w:t>mode</w:t>
      </w:r>
      <w:r w:rsidR="000A6A1E">
        <w:t xml:space="preserve"> = </w:t>
      </w:r>
      <w:r w:rsidR="007046A9" w:rsidRPr="00673CAF">
        <w:t>Strongly Agree</w:t>
      </w:r>
      <w:r w:rsidR="007046A9">
        <w:t xml:space="preserve"> or Agree </w:t>
      </w:r>
      <w:r w:rsidR="000A6A1E">
        <w:t>(</w:t>
      </w:r>
      <w:r w:rsidR="008D3538">
        <w:t>74.9</w:t>
      </w:r>
      <w:r w:rsidR="000A6A1E">
        <w:t>%)]</w:t>
      </w:r>
      <w:r w:rsidR="007017E4">
        <w:t xml:space="preserve">. </w:t>
      </w:r>
      <w:r w:rsidR="0034545F" w:rsidRPr="00CC0845">
        <w:t>Further, respondents</w:t>
      </w:r>
      <w:r w:rsidR="006812B5" w:rsidRPr="00FD5183">
        <w:t xml:space="preserve"> </w:t>
      </w:r>
      <w:r w:rsidR="0034545F" w:rsidRPr="00CC0845">
        <w:t>believe</w:t>
      </w:r>
      <w:r w:rsidR="006812B5" w:rsidRPr="00FD5183">
        <w:t>d</w:t>
      </w:r>
      <w:r w:rsidR="0034545F" w:rsidRPr="00B82455">
        <w:t xml:space="preserve"> that </w:t>
      </w:r>
      <w:r w:rsidR="000A1E85">
        <w:t xml:space="preserve">the </w:t>
      </w:r>
      <w:r w:rsidR="0034545F" w:rsidRPr="00B82455">
        <w:t>performance</w:t>
      </w:r>
      <w:r w:rsidR="000A1E85">
        <w:t>s required by</w:t>
      </w:r>
      <w:r w:rsidR="0034545F" w:rsidRPr="00B82455">
        <w:t xml:space="preserve"> ORExt items </w:t>
      </w:r>
      <w:r w:rsidR="000A1E85">
        <w:rPr>
          <w:color w:val="000000"/>
        </w:rPr>
        <w:t>are appropriate behaviors to review to determine what their</w:t>
      </w:r>
      <w:r w:rsidR="0034545F" w:rsidRPr="00CC0845">
        <w:rPr>
          <w:color w:val="000000"/>
        </w:rPr>
        <w:t xml:space="preserve"> SWSCD</w:t>
      </w:r>
      <w:r w:rsidR="000A1E85">
        <w:rPr>
          <w:color w:val="000000"/>
        </w:rPr>
        <w:t xml:space="preserve"> know and can do</w:t>
      </w:r>
      <w:r w:rsidR="0034545F" w:rsidRPr="00CC0845">
        <w:rPr>
          <w:color w:val="000000"/>
        </w:rPr>
        <w:t xml:space="preserve"> </w:t>
      </w:r>
      <w:r w:rsidR="000A6A1E">
        <w:t>[</w:t>
      </w:r>
      <w:r w:rsidR="00A94A45">
        <w:t>Item 4</w:t>
      </w:r>
      <w:r w:rsidR="0034545F" w:rsidRPr="00CC0845">
        <w:t xml:space="preserve">; </w:t>
      </w:r>
      <w:r w:rsidR="000A6A1E" w:rsidRPr="00B51898">
        <w:rPr>
          <w:i/>
        </w:rPr>
        <w:t>mode</w:t>
      </w:r>
      <w:r w:rsidR="000A6A1E">
        <w:t xml:space="preserve"> = </w:t>
      </w:r>
      <w:r w:rsidR="007046A9" w:rsidRPr="00673CAF">
        <w:t>Strongly Agree</w:t>
      </w:r>
      <w:r w:rsidR="007046A9">
        <w:t xml:space="preserve"> or Agree </w:t>
      </w:r>
      <w:r w:rsidR="000A6A1E">
        <w:t>(</w:t>
      </w:r>
      <w:r w:rsidR="007046A9">
        <w:t>8</w:t>
      </w:r>
      <w:r w:rsidR="008D3538">
        <w:t>4.3</w:t>
      </w:r>
      <w:r w:rsidR="000A6A1E">
        <w:t>%)]</w:t>
      </w:r>
      <w:r w:rsidR="0034545F" w:rsidRPr="00CC0845">
        <w:t xml:space="preserve">. </w:t>
      </w:r>
      <w:r w:rsidR="00974545">
        <w:t xml:space="preserve">QTs and QAs indicated a mildly </w:t>
      </w:r>
      <w:r w:rsidR="007046A9">
        <w:t>positive</w:t>
      </w:r>
      <w:r w:rsidR="00974545">
        <w:t xml:space="preserve"> response to having the </w:t>
      </w:r>
      <w:r w:rsidR="009248BA">
        <w:t xml:space="preserve">curricula needed to teach academic skills </w:t>
      </w:r>
      <w:r w:rsidR="0007775D">
        <w:t>that are aligned to the Essentialized Assessment Frameworks</w:t>
      </w:r>
      <w:r w:rsidR="00491983">
        <w:t xml:space="preserve"> to their students taking ORExt</w:t>
      </w:r>
      <w:r w:rsidR="0007775D">
        <w:t xml:space="preserve"> </w:t>
      </w:r>
      <w:r w:rsidR="000A6A1E">
        <w:t>[</w:t>
      </w:r>
      <w:r w:rsidR="00A94A45">
        <w:t>Item 5</w:t>
      </w:r>
      <w:r w:rsidR="0034545F" w:rsidRPr="006E3E14">
        <w:t xml:space="preserve">; </w:t>
      </w:r>
      <w:r w:rsidR="000A6A1E">
        <w:t xml:space="preserve">mode = </w:t>
      </w:r>
      <w:r w:rsidR="007046A9" w:rsidRPr="00673CAF">
        <w:t>Strongly Agree</w:t>
      </w:r>
      <w:r w:rsidR="007046A9">
        <w:t xml:space="preserve"> or Agree </w:t>
      </w:r>
      <w:r w:rsidR="000A6A1E">
        <w:t>(</w:t>
      </w:r>
      <w:r w:rsidR="008D3538">
        <w:t>64.9</w:t>
      </w:r>
      <w:r w:rsidR="000A6A1E">
        <w:t xml:space="preserve">%)]. </w:t>
      </w:r>
      <w:r w:rsidR="003801ED">
        <w:t>Furthermore,</w:t>
      </w:r>
      <w:r w:rsidR="00817346">
        <w:t xml:space="preserve"> respondents </w:t>
      </w:r>
      <w:r w:rsidR="003801ED">
        <w:t xml:space="preserve">generally agreed that they felt confident in interpreting the scores and the relative achievement level descriptors for ORExt </w:t>
      </w:r>
      <w:r w:rsidR="000A6A1E">
        <w:t>[</w:t>
      </w:r>
      <w:r w:rsidR="00A94A45">
        <w:t xml:space="preserve">Item </w:t>
      </w:r>
      <w:r w:rsidR="00817346">
        <w:t>6</w:t>
      </w:r>
      <w:r w:rsidR="007B2B98" w:rsidRPr="00FD5183">
        <w:t xml:space="preserve">; </w:t>
      </w:r>
      <w:r w:rsidR="000A6A1E">
        <w:rPr>
          <w:i/>
        </w:rPr>
        <w:t xml:space="preserve">mode </w:t>
      </w:r>
      <w:r w:rsidR="007046A9" w:rsidRPr="00673CAF">
        <w:t>Strongly Agree</w:t>
      </w:r>
      <w:r w:rsidR="007046A9">
        <w:t xml:space="preserve"> or Agree </w:t>
      </w:r>
      <w:r w:rsidR="000A6A1E">
        <w:t>(</w:t>
      </w:r>
      <w:r w:rsidR="007046A9">
        <w:t>7</w:t>
      </w:r>
      <w:r w:rsidR="008D3538">
        <w:t>9</w:t>
      </w:r>
      <w:r w:rsidR="007B2B98" w:rsidRPr="00FD5183">
        <w:t>%</w:t>
      </w:r>
      <w:r w:rsidR="008B27CB">
        <w:t>)</w:t>
      </w:r>
      <w:r w:rsidR="000A6A1E">
        <w:t>]</w:t>
      </w:r>
      <w:r w:rsidR="009F2502">
        <w:t>.</w:t>
      </w:r>
    </w:p>
    <w:p w14:paraId="2CC629F8" w14:textId="6C453809" w:rsidR="004A394B" w:rsidRDefault="004A394B" w:rsidP="00DE110D">
      <w:pPr>
        <w:spacing w:line="480" w:lineRule="auto"/>
        <w:ind w:firstLine="720"/>
      </w:pPr>
      <w:r>
        <w:t>As time spent administering assessments is a specific concern addressed in the new Every Student Succeeds Act</w:t>
      </w:r>
      <w:r w:rsidR="004D2E58">
        <w:t xml:space="preserve"> (2015)</w:t>
      </w:r>
      <w:r>
        <w:t>, we asked test administrators to estimate how long it took to administer one content area assessment</w:t>
      </w:r>
      <w:r w:rsidR="004D2E58">
        <w:t xml:space="preserve"> in ELA or Math. Of the </w:t>
      </w:r>
      <w:r w:rsidR="007046A9">
        <w:t>1</w:t>
      </w:r>
      <w:r w:rsidR="008D3538">
        <w:t>91</w:t>
      </w:r>
      <w:r w:rsidR="004D2E58">
        <w:t xml:space="preserve"> respondents, </w:t>
      </w:r>
      <w:r w:rsidR="008D3538">
        <w:lastRenderedPageBreak/>
        <w:t>45.6</w:t>
      </w:r>
      <w:r w:rsidR="007046A9">
        <w:t>%</w:t>
      </w:r>
      <w:r w:rsidR="004D2E58">
        <w:t xml:space="preserve"> recorded that a content area assessment required </w:t>
      </w:r>
      <w:r w:rsidR="007046A9">
        <w:t>between</w:t>
      </w:r>
      <w:r w:rsidR="004D2E58">
        <w:t xml:space="preserve"> one hour </w:t>
      </w:r>
      <w:r w:rsidR="007046A9">
        <w:t xml:space="preserve">and two hours </w:t>
      </w:r>
      <w:r w:rsidR="004D2E58">
        <w:t>to administer. Nine percent of respondents recorded that the assessment took u</w:t>
      </w:r>
      <w:r w:rsidR="007046A9">
        <w:t>p to three hours to administer</w:t>
      </w:r>
      <w:r w:rsidR="004D2E58">
        <w:t>.</w:t>
      </w:r>
      <w:r w:rsidR="003C4C7B">
        <w:t xml:space="preserve"> The majority of QAs report that the assessment takes no more than one hour to administer per content area, with a few cases taking longer than an hour for test administration.</w:t>
      </w:r>
    </w:p>
    <w:p w14:paraId="04B182D7" w14:textId="30E48167" w:rsidR="00DE110D" w:rsidRDefault="00DE110D" w:rsidP="00A94A45">
      <w:pPr>
        <w:spacing w:line="480" w:lineRule="auto"/>
        <w:ind w:firstLine="720"/>
      </w:pPr>
      <w:r w:rsidRPr="000C2655">
        <w:t xml:space="preserve">Overall, </w:t>
      </w:r>
      <w:r w:rsidR="003C4C7B">
        <w:t>respondents</w:t>
      </w:r>
      <w:r w:rsidR="00E90601" w:rsidRPr="00901F5B">
        <w:t xml:space="preserve"> </w:t>
      </w:r>
      <w:r w:rsidR="00653F2B">
        <w:t>had varying responses to</w:t>
      </w:r>
      <w:r w:rsidRPr="00901F5B">
        <w:t xml:space="preserve"> the </w:t>
      </w:r>
      <w:r w:rsidR="00FE44D2" w:rsidRPr="00901F5B">
        <w:t xml:space="preserve">potential positive </w:t>
      </w:r>
      <w:r w:rsidRPr="00081785">
        <w:rPr>
          <w:i/>
        </w:rPr>
        <w:t>educational</w:t>
      </w:r>
      <w:r w:rsidRPr="0066138C">
        <w:t xml:space="preserve"> </w:t>
      </w:r>
      <w:r w:rsidRPr="00262EB7">
        <w:t>impact</w:t>
      </w:r>
      <w:r w:rsidR="00D05E88" w:rsidRPr="00262EB7">
        <w:t>s</w:t>
      </w:r>
      <w:r w:rsidRPr="00262EB7">
        <w:t xml:space="preserve"> that ORExt imp</w:t>
      </w:r>
      <w:r w:rsidR="00983D16" w:rsidRPr="00262EB7">
        <w:t>lementation is having on SWSCD</w:t>
      </w:r>
      <w:r w:rsidR="003C4C7B">
        <w:t xml:space="preserve"> </w:t>
      </w:r>
      <w:r w:rsidR="003C4C7B" w:rsidRPr="0066138C">
        <w:t>(I</w:t>
      </w:r>
      <w:r w:rsidR="003C4C7B">
        <w:t>tems 7a to7h</w:t>
      </w:r>
      <w:r w:rsidR="003C4C7B" w:rsidRPr="00262EB7">
        <w:t>)</w:t>
      </w:r>
      <w:r w:rsidR="00BC0D60">
        <w:t xml:space="preserve">. </w:t>
      </w:r>
      <w:r w:rsidR="003A085D" w:rsidRPr="00901F5B">
        <w:t>In general, respondents had a</w:t>
      </w:r>
      <w:r w:rsidR="003A085D" w:rsidRPr="00ED2B95">
        <w:t xml:space="preserve"> </w:t>
      </w:r>
      <w:r w:rsidR="00A94A45">
        <w:t>mi</w:t>
      </w:r>
      <w:r w:rsidR="008D5546">
        <w:t>l</w:t>
      </w:r>
      <w:r w:rsidR="00A94A45">
        <w:t>dly positive view of educational impacts of the ORExt. Respondents believed that the</w:t>
      </w:r>
      <w:r w:rsidR="00A94A45" w:rsidRPr="007F752B">
        <w:t xml:space="preserve"> ORExt increased educator</w:t>
      </w:r>
      <w:r w:rsidR="00A94A45" w:rsidRPr="00081785">
        <w:t xml:space="preserve"> understanding of the academic content for SWSCD </w:t>
      </w:r>
      <w:r w:rsidR="003C4C7B">
        <w:t>[</w:t>
      </w:r>
      <w:r w:rsidR="00A94A45">
        <w:t xml:space="preserve">Item </w:t>
      </w:r>
      <w:r w:rsidR="00BC0D60">
        <w:t>7</w:t>
      </w:r>
      <w:r w:rsidR="00A94A45" w:rsidRPr="0066138C">
        <w:t xml:space="preserve">a; </w:t>
      </w:r>
      <w:r w:rsidR="003C4C7B">
        <w:rPr>
          <w:i/>
        </w:rPr>
        <w:t>mode =</w:t>
      </w:r>
      <w:r w:rsidR="00BC0D60">
        <w:t xml:space="preserve"> </w:t>
      </w:r>
      <w:r w:rsidR="007046A9" w:rsidRPr="00673CAF">
        <w:t>Strongly Agree</w:t>
      </w:r>
      <w:r w:rsidR="007046A9">
        <w:t xml:space="preserve"> or Agree </w:t>
      </w:r>
      <w:r w:rsidR="003C4C7B">
        <w:t>(</w:t>
      </w:r>
      <w:r w:rsidR="007046A9">
        <w:t>6</w:t>
      </w:r>
      <w:r w:rsidR="008D3538">
        <w:t>5.4</w:t>
      </w:r>
      <w:r w:rsidR="003C4C7B">
        <w:t>%)]</w:t>
      </w:r>
      <w:r w:rsidR="00A94A45" w:rsidRPr="007F752B">
        <w:t xml:space="preserve"> </w:t>
      </w:r>
      <w:r w:rsidR="00A94A45">
        <w:t>and</w:t>
      </w:r>
      <w:r w:rsidR="00A94A45" w:rsidRPr="007F752B">
        <w:t xml:space="preserve"> </w:t>
      </w:r>
      <w:r w:rsidR="00A94A45" w:rsidRPr="007F752B">
        <w:rPr>
          <w:color w:val="000000"/>
        </w:rPr>
        <w:t xml:space="preserve">provided new models for assessing academics for SWSCD </w:t>
      </w:r>
      <w:r w:rsidR="00A94A45">
        <w:t xml:space="preserve">(Item </w:t>
      </w:r>
      <w:r w:rsidR="00BC0D60">
        <w:t>7</w:t>
      </w:r>
      <w:r w:rsidR="00A94A45" w:rsidRPr="007F752B">
        <w:t xml:space="preserve">b; </w:t>
      </w:r>
      <w:r w:rsidR="003C4C7B">
        <w:rPr>
          <w:i/>
        </w:rPr>
        <w:t>mode =</w:t>
      </w:r>
      <w:r w:rsidR="00BC0D60">
        <w:t xml:space="preserve"> </w:t>
      </w:r>
      <w:r w:rsidR="007046A9" w:rsidRPr="00673CAF">
        <w:t>Strongly Agree</w:t>
      </w:r>
      <w:r w:rsidR="007046A9">
        <w:t xml:space="preserve"> or Agree </w:t>
      </w:r>
      <w:r w:rsidR="003C4C7B">
        <w:t>(</w:t>
      </w:r>
      <w:r w:rsidR="008D3538">
        <w:t>69.1</w:t>
      </w:r>
      <w:r w:rsidR="003C4C7B">
        <w:t>%)]</w:t>
      </w:r>
      <w:r w:rsidR="00A94A45" w:rsidRPr="002E7856">
        <w:t xml:space="preserve">.  </w:t>
      </w:r>
      <w:r w:rsidR="00861EC6">
        <w:t xml:space="preserve">While respondents </w:t>
      </w:r>
      <w:r w:rsidR="00797FFB">
        <w:t>were neutral</w:t>
      </w:r>
      <w:r w:rsidR="00861EC6">
        <w:t xml:space="preserve"> that ORExt provided positive impacts in the curricular and instructional approaches used with their students </w:t>
      </w:r>
      <w:r w:rsidR="003C4C7B">
        <w:t>[</w:t>
      </w:r>
      <w:r w:rsidR="000C2913">
        <w:t xml:space="preserve">Item 7c; </w:t>
      </w:r>
      <w:r w:rsidR="003C4C7B">
        <w:rPr>
          <w:i/>
        </w:rPr>
        <w:t>mode =</w:t>
      </w:r>
      <w:r w:rsidR="000C2913">
        <w:t xml:space="preserve"> </w:t>
      </w:r>
      <w:r w:rsidR="00797FFB" w:rsidRPr="00673CAF">
        <w:t>Strongly Agree</w:t>
      </w:r>
      <w:r w:rsidR="00797FFB">
        <w:t xml:space="preserve"> or Agree </w:t>
      </w:r>
      <w:r w:rsidR="003C4C7B">
        <w:t>(</w:t>
      </w:r>
      <w:r w:rsidR="00797FFB">
        <w:t>5</w:t>
      </w:r>
      <w:r w:rsidR="008D3538">
        <w:t>8.1</w:t>
      </w:r>
      <w:r w:rsidR="003C4C7B">
        <w:t>%)]</w:t>
      </w:r>
      <w:r w:rsidR="000C2913">
        <w:t xml:space="preserve">, </w:t>
      </w:r>
      <w:r w:rsidR="003C4C7B">
        <w:t>M</w:t>
      </w:r>
      <w:r w:rsidR="000C2913">
        <w:t xml:space="preserve">any believed that it improved the manner in which classroom assessments are designed and implemented </w:t>
      </w:r>
      <w:r w:rsidR="003C4C7B">
        <w:t>[</w:t>
      </w:r>
      <w:r w:rsidR="000C2913">
        <w:t xml:space="preserve">Item 7d; </w:t>
      </w:r>
      <w:r w:rsidR="003C4C7B" w:rsidRPr="00B51898">
        <w:rPr>
          <w:i/>
        </w:rPr>
        <w:t>mode</w:t>
      </w:r>
      <w:r w:rsidR="003C4C7B">
        <w:t xml:space="preserve"> = </w:t>
      </w:r>
      <w:r w:rsidR="00797FFB" w:rsidRPr="00673CAF">
        <w:t>Strongly Agree</w:t>
      </w:r>
      <w:r w:rsidR="00797FFB">
        <w:t xml:space="preserve"> or Agree </w:t>
      </w:r>
      <w:r w:rsidR="003C4C7B">
        <w:t>(</w:t>
      </w:r>
      <w:r w:rsidR="00797FFB">
        <w:t>53</w:t>
      </w:r>
      <w:r w:rsidR="008D3538">
        <w:t>.4</w:t>
      </w:r>
      <w:r w:rsidR="003C4C7B">
        <w:t>%)]</w:t>
      </w:r>
      <w:r w:rsidR="000C2913">
        <w:t xml:space="preserve">. </w:t>
      </w:r>
      <w:r w:rsidR="00ED3A26">
        <w:t xml:space="preserve">QAs and QTs </w:t>
      </w:r>
      <w:r w:rsidR="00E74CAF">
        <w:t xml:space="preserve">mildly disagreed that ORExt improved the learning outcomes of SWSCD </w:t>
      </w:r>
      <w:r w:rsidR="00653F2B">
        <w:t>[</w:t>
      </w:r>
      <w:r w:rsidR="00E74CAF">
        <w:t xml:space="preserve">Item 7e; </w:t>
      </w:r>
      <w:r w:rsidR="00653F2B">
        <w:rPr>
          <w:i/>
        </w:rPr>
        <w:t>mode =</w:t>
      </w:r>
      <w:r w:rsidR="00E74CAF">
        <w:t xml:space="preserve"> </w:t>
      </w:r>
      <w:r w:rsidR="00797FFB" w:rsidRPr="00673CAF">
        <w:t>Strongly Agree</w:t>
      </w:r>
      <w:r w:rsidR="00797FFB">
        <w:t xml:space="preserve"> or Agree </w:t>
      </w:r>
      <w:r w:rsidR="00653F2B">
        <w:t>(4</w:t>
      </w:r>
      <w:r w:rsidR="00797FFB">
        <w:t>8</w:t>
      </w:r>
      <w:r w:rsidR="008D3538">
        <w:t>.7</w:t>
      </w:r>
      <w:r w:rsidR="00653F2B">
        <w:t>%)]</w:t>
      </w:r>
      <w:r w:rsidR="00E74CAF">
        <w:t xml:space="preserve">, nor did it increase access to the general education curriculum for those students </w:t>
      </w:r>
      <w:r w:rsidR="00653F2B">
        <w:t>[</w:t>
      </w:r>
      <w:r w:rsidR="00E74CAF">
        <w:t xml:space="preserve">Item 7f; </w:t>
      </w:r>
      <w:r w:rsidR="00653F2B">
        <w:rPr>
          <w:i/>
        </w:rPr>
        <w:t>mode =</w:t>
      </w:r>
      <w:r w:rsidR="00E74CAF">
        <w:t xml:space="preserve"> </w:t>
      </w:r>
      <w:r w:rsidR="00797FFB" w:rsidRPr="00673CAF">
        <w:t>Strongly Agree</w:t>
      </w:r>
      <w:r w:rsidR="00797FFB">
        <w:t xml:space="preserve"> or Agree </w:t>
      </w:r>
      <w:r w:rsidR="00653F2B">
        <w:t>(4</w:t>
      </w:r>
      <w:r w:rsidR="00797FFB">
        <w:t>3</w:t>
      </w:r>
      <w:r w:rsidR="008D3538">
        <w:t>.5</w:t>
      </w:r>
      <w:r w:rsidR="00653F2B">
        <w:t>%</w:t>
      </w:r>
      <w:r w:rsidR="00E74CAF">
        <w:t>)</w:t>
      </w:r>
      <w:r w:rsidR="00653F2B">
        <w:t>]</w:t>
      </w:r>
      <w:r w:rsidR="00E74CAF">
        <w:t xml:space="preserve">. </w:t>
      </w:r>
      <w:r w:rsidR="00A94A45" w:rsidRPr="00E713E4">
        <w:t xml:space="preserve">However, respondents were more </w:t>
      </w:r>
      <w:r w:rsidR="000C6B91">
        <w:t>agreeable</w:t>
      </w:r>
      <w:r w:rsidR="000C6B91" w:rsidRPr="00E713E4">
        <w:t xml:space="preserve"> </w:t>
      </w:r>
      <w:r w:rsidR="00A94A45" w:rsidRPr="00E713E4">
        <w:t xml:space="preserve">regarding </w:t>
      </w:r>
      <w:r w:rsidR="000C6B91">
        <w:t>the positive impact</w:t>
      </w:r>
      <w:r w:rsidR="00ED3A26">
        <w:t xml:space="preserve"> of ORExt</w:t>
      </w:r>
      <w:r w:rsidR="000C6B91">
        <w:t xml:space="preserve"> in developing academic goals and objectives in IEPs for SWSCD </w:t>
      </w:r>
      <w:r w:rsidR="00484C15">
        <w:t>[</w:t>
      </w:r>
      <w:r w:rsidR="000C6B91">
        <w:t xml:space="preserve">Item 7g; </w:t>
      </w:r>
      <w:r w:rsidR="00484C15">
        <w:rPr>
          <w:i/>
        </w:rPr>
        <w:t xml:space="preserve">mode = </w:t>
      </w:r>
      <w:r w:rsidR="00797FFB" w:rsidRPr="00673CAF">
        <w:t>Strongly Agree</w:t>
      </w:r>
      <w:r w:rsidR="00797FFB">
        <w:t xml:space="preserve"> or Agree </w:t>
      </w:r>
      <w:r w:rsidR="00484C15">
        <w:t>(5</w:t>
      </w:r>
      <w:r w:rsidR="008D3538">
        <w:t>0.3</w:t>
      </w:r>
      <w:r w:rsidR="00484C15">
        <w:t>%)]</w:t>
      </w:r>
      <w:r w:rsidR="000C6B91">
        <w:t xml:space="preserve">, as well as improving the alignment between IEP and state standards and benchmarks </w:t>
      </w:r>
      <w:r w:rsidR="00484C15">
        <w:t>[</w:t>
      </w:r>
      <w:r w:rsidR="000C6B91">
        <w:t xml:space="preserve">Item 7h; </w:t>
      </w:r>
      <w:r w:rsidR="00484C15">
        <w:rPr>
          <w:i/>
        </w:rPr>
        <w:t>mode =</w:t>
      </w:r>
      <w:r w:rsidR="000C6B91">
        <w:t xml:space="preserve"> </w:t>
      </w:r>
      <w:r w:rsidR="00797FFB" w:rsidRPr="00673CAF">
        <w:t>Strongly Agree</w:t>
      </w:r>
      <w:r w:rsidR="00797FFB">
        <w:t xml:space="preserve"> or Agree </w:t>
      </w:r>
      <w:r w:rsidR="00484C15">
        <w:t>(5</w:t>
      </w:r>
      <w:r w:rsidR="008D3538">
        <w:t>2.9</w:t>
      </w:r>
      <w:r w:rsidR="00484C15">
        <w:t>%)]</w:t>
      </w:r>
      <w:r w:rsidR="00797FFB">
        <w:t xml:space="preserve">. </w:t>
      </w:r>
    </w:p>
    <w:p w14:paraId="2D2C4F0B" w14:textId="77777777" w:rsidR="008D3538" w:rsidRPr="00081785" w:rsidRDefault="008D3538" w:rsidP="00A94A45">
      <w:pPr>
        <w:spacing w:line="480" w:lineRule="auto"/>
        <w:ind w:firstLine="720"/>
      </w:pPr>
    </w:p>
    <w:p w14:paraId="176889C0" w14:textId="062C85FC" w:rsidR="0034545F" w:rsidRPr="000C78F3" w:rsidRDefault="00354A80" w:rsidP="00FD5183">
      <w:pPr>
        <w:rPr>
          <w:b/>
        </w:rPr>
      </w:pPr>
      <w:r w:rsidRPr="000C78F3">
        <w:rPr>
          <w:b/>
        </w:rPr>
        <w:lastRenderedPageBreak/>
        <w:t>Qualitative</w:t>
      </w:r>
    </w:p>
    <w:p w14:paraId="0EAA7F26" w14:textId="77777777" w:rsidR="002A2125" w:rsidRPr="00FD5183" w:rsidRDefault="002A2125" w:rsidP="00FD5183">
      <w:pPr>
        <w:rPr>
          <w:b/>
          <w:highlight w:val="yellow"/>
        </w:rPr>
      </w:pPr>
    </w:p>
    <w:p w14:paraId="05C75E08" w14:textId="3F323503" w:rsidR="00DA7A19" w:rsidRPr="003A28CE" w:rsidRDefault="00895BD8" w:rsidP="00F61B26">
      <w:pPr>
        <w:spacing w:line="480" w:lineRule="auto"/>
        <w:ind w:firstLine="720"/>
        <w:rPr>
          <w:highlight w:val="yellow"/>
        </w:rPr>
      </w:pPr>
      <w:r w:rsidRPr="00495B43">
        <w:t xml:space="preserve">Participating </w:t>
      </w:r>
      <w:r w:rsidR="00DA7A19" w:rsidRPr="003A28CE">
        <w:t>QAs and QTs</w:t>
      </w:r>
      <w:r w:rsidR="00F61B26" w:rsidRPr="00714CC5">
        <w:t xml:space="preserve"> were asked to </w:t>
      </w:r>
      <w:r w:rsidR="00DA7A19" w:rsidRPr="00714CC5">
        <w:t xml:space="preserve">answer </w:t>
      </w:r>
      <w:r w:rsidR="00445C3A">
        <w:t>three</w:t>
      </w:r>
      <w:r w:rsidR="00445C3A" w:rsidRPr="003A28CE">
        <w:t xml:space="preserve"> </w:t>
      </w:r>
      <w:r w:rsidR="00DA7A19" w:rsidRPr="003A28CE">
        <w:t xml:space="preserve">open-ended </w:t>
      </w:r>
      <w:r w:rsidR="0006517F" w:rsidRPr="00714CC5">
        <w:t xml:space="preserve">survey </w:t>
      </w:r>
      <w:r w:rsidR="00DA7A19" w:rsidRPr="00714CC5">
        <w:t>items.</w:t>
      </w:r>
      <w:r w:rsidR="00DA7A19" w:rsidRPr="004C178B">
        <w:t xml:space="preserve"> </w:t>
      </w:r>
      <w:r w:rsidR="00DA7A19" w:rsidRPr="004C178B">
        <w:rPr>
          <w:color w:val="000000"/>
        </w:rPr>
        <w:t>The first qualitative response item asked respondents to describe what they appreciated most about the 201</w:t>
      </w:r>
      <w:r w:rsidR="008D3538">
        <w:rPr>
          <w:color w:val="000000"/>
        </w:rPr>
        <w:t>8</w:t>
      </w:r>
      <w:r w:rsidR="00DA7A19" w:rsidRPr="004C178B">
        <w:rPr>
          <w:color w:val="000000"/>
        </w:rPr>
        <w:t>-1</w:t>
      </w:r>
      <w:r w:rsidR="008D3538">
        <w:rPr>
          <w:color w:val="000000"/>
        </w:rPr>
        <w:t>9</w:t>
      </w:r>
      <w:r w:rsidR="00DA7A19" w:rsidRPr="004C178B">
        <w:rPr>
          <w:color w:val="000000"/>
        </w:rPr>
        <w:t xml:space="preserve"> </w:t>
      </w:r>
      <w:r w:rsidR="00031512" w:rsidRPr="004C178B">
        <w:rPr>
          <w:color w:val="000000"/>
        </w:rPr>
        <w:t>ORExt</w:t>
      </w:r>
      <w:r w:rsidR="00DA7A19" w:rsidRPr="004C178B">
        <w:rPr>
          <w:color w:val="000000"/>
        </w:rPr>
        <w:t>.</w:t>
      </w:r>
      <w:r w:rsidR="00F61B26" w:rsidRPr="004C178B">
        <w:t xml:space="preserve"> </w:t>
      </w:r>
      <w:r w:rsidR="002A6695">
        <w:t xml:space="preserve">Of the </w:t>
      </w:r>
      <w:r w:rsidR="00381EA9">
        <w:t>1</w:t>
      </w:r>
      <w:r w:rsidR="008D3538">
        <w:t>91</w:t>
      </w:r>
      <w:r w:rsidR="002A6695">
        <w:t xml:space="preserve"> respondents for </w:t>
      </w:r>
      <w:r w:rsidR="004065A3">
        <w:t>this item</w:t>
      </w:r>
      <w:r w:rsidR="002A6695">
        <w:t xml:space="preserve">, </w:t>
      </w:r>
      <w:r w:rsidR="006B7715">
        <w:t>two</w:t>
      </w:r>
      <w:r w:rsidR="00A546D6" w:rsidRPr="00715D21">
        <w:t xml:space="preserve"> </w:t>
      </w:r>
      <w:r w:rsidR="002A6695">
        <w:t xml:space="preserve">overall </w:t>
      </w:r>
      <w:r w:rsidR="00DA7A19" w:rsidRPr="00715D21">
        <w:t xml:space="preserve">aspects </w:t>
      </w:r>
      <w:r w:rsidR="002A6695">
        <w:t>of the ORExt were most</w:t>
      </w:r>
      <w:r w:rsidR="00DA7A19" w:rsidRPr="007B758F">
        <w:t xml:space="preserve"> appreciated</w:t>
      </w:r>
      <w:r w:rsidR="00DB5AC7" w:rsidRPr="007B758F">
        <w:t xml:space="preserve"> (in order of greatest frequency to least)</w:t>
      </w:r>
      <w:r w:rsidR="00DA7A19" w:rsidRPr="007B758F">
        <w:t>:</w:t>
      </w:r>
    </w:p>
    <w:p w14:paraId="13E3FFA5" w14:textId="327F556F" w:rsidR="00DA7A19" w:rsidRPr="009A0D04" w:rsidRDefault="002A6695" w:rsidP="00DA7A19">
      <w:pPr>
        <w:pStyle w:val="ListParagraph"/>
        <w:numPr>
          <w:ilvl w:val="0"/>
          <w:numId w:val="8"/>
        </w:numPr>
        <w:spacing w:line="480" w:lineRule="auto"/>
      </w:pPr>
      <w:r>
        <w:t>E</w:t>
      </w:r>
      <w:r w:rsidR="00DA7A19" w:rsidRPr="00715D21">
        <w:t>fficiency</w:t>
      </w:r>
      <w:r w:rsidR="00326640" w:rsidRPr="00715D21">
        <w:t xml:space="preserve"> of administration</w:t>
      </w:r>
      <w:r w:rsidR="00D852C5">
        <w:t xml:space="preserve">, such as </w:t>
      </w:r>
      <w:r w:rsidR="00890171" w:rsidRPr="009A0D04">
        <w:t xml:space="preserve">more streamlined administration, </w:t>
      </w:r>
      <w:r w:rsidR="00890171" w:rsidRPr="00CB2907">
        <w:t>ease of administration while maintaining tasks that reliably</w:t>
      </w:r>
      <w:r w:rsidR="00890171" w:rsidRPr="009A0D04">
        <w:t xml:space="preserve"> measure target skills, easier to give and score</w:t>
      </w:r>
      <w:r w:rsidR="00381EA9">
        <w:t>.</w:t>
      </w:r>
    </w:p>
    <w:p w14:paraId="1CD0FC34" w14:textId="52523E30" w:rsidR="00696B4A" w:rsidRPr="003272FA" w:rsidRDefault="002A6695" w:rsidP="006B7715">
      <w:pPr>
        <w:pStyle w:val="ListParagraph"/>
        <w:numPr>
          <w:ilvl w:val="0"/>
          <w:numId w:val="8"/>
        </w:numPr>
        <w:spacing w:line="480" w:lineRule="auto"/>
      </w:pPr>
      <w:r>
        <w:t>O</w:t>
      </w:r>
      <w:r w:rsidR="00326640" w:rsidRPr="003272FA">
        <w:t>verall</w:t>
      </w:r>
      <w:r w:rsidR="00DA7A19" w:rsidRPr="003272FA">
        <w:t xml:space="preserve"> item</w:t>
      </w:r>
      <w:r w:rsidR="00326640" w:rsidRPr="003272FA">
        <w:t xml:space="preserve"> and test</w:t>
      </w:r>
      <w:r w:rsidR="00DA7A19" w:rsidRPr="003272FA">
        <w:t xml:space="preserve"> design</w:t>
      </w:r>
      <w:r w:rsidR="00D852C5">
        <w:t xml:space="preserve">, including </w:t>
      </w:r>
      <w:r w:rsidR="00DA7A19" w:rsidRPr="003272FA">
        <w:t xml:space="preserve">one item per page, visual supports, </w:t>
      </w:r>
      <w:r w:rsidR="00696B4A">
        <w:t xml:space="preserve">variety of question prompts, </w:t>
      </w:r>
      <w:r w:rsidR="00DA7A19" w:rsidRPr="003272FA">
        <w:t>student materials design</w:t>
      </w:r>
      <w:r w:rsidR="00696B4A">
        <w:t>, and accessibility for students</w:t>
      </w:r>
      <w:r w:rsidR="00381EA9">
        <w:t>.</w:t>
      </w:r>
    </w:p>
    <w:p w14:paraId="4F00F6C6" w14:textId="2E34A5C6" w:rsidR="00DA7A19" w:rsidRPr="003A28CE" w:rsidRDefault="00F00DD8" w:rsidP="00F61B26">
      <w:pPr>
        <w:spacing w:line="480" w:lineRule="auto"/>
        <w:ind w:firstLine="720"/>
        <w:rPr>
          <w:highlight w:val="yellow"/>
        </w:rPr>
      </w:pPr>
      <w:r w:rsidRPr="00975F85">
        <w:rPr>
          <w:color w:val="000000"/>
        </w:rPr>
        <w:t>The second qualitative response item asked respondents to recommend one improvement that could be made to the 201</w:t>
      </w:r>
      <w:r w:rsidR="008D3538">
        <w:rPr>
          <w:color w:val="000000"/>
        </w:rPr>
        <w:t>8</w:t>
      </w:r>
      <w:r w:rsidRPr="00975F85">
        <w:rPr>
          <w:color w:val="000000"/>
        </w:rPr>
        <w:t>-1</w:t>
      </w:r>
      <w:r w:rsidR="008D3538">
        <w:rPr>
          <w:color w:val="000000"/>
        </w:rPr>
        <w:t>9</w:t>
      </w:r>
      <w:r w:rsidRPr="00975F85">
        <w:rPr>
          <w:color w:val="000000"/>
        </w:rPr>
        <w:t xml:space="preserve"> </w:t>
      </w:r>
      <w:r w:rsidR="00031512" w:rsidRPr="00975F85">
        <w:rPr>
          <w:color w:val="000000"/>
        </w:rPr>
        <w:t>ORExt</w:t>
      </w:r>
      <w:r w:rsidRPr="00975F85">
        <w:rPr>
          <w:color w:val="000000"/>
        </w:rPr>
        <w:t>.</w:t>
      </w:r>
      <w:r w:rsidR="00FE1DBA" w:rsidRPr="00975F85">
        <w:rPr>
          <w:color w:val="000000"/>
        </w:rPr>
        <w:t xml:space="preserve"> </w:t>
      </w:r>
      <w:r w:rsidR="00FE1DBA" w:rsidRPr="00975F85">
        <w:t xml:space="preserve">Across the </w:t>
      </w:r>
      <w:r w:rsidR="00381EA9">
        <w:t>1</w:t>
      </w:r>
      <w:r w:rsidR="008D3538">
        <w:t>91</w:t>
      </w:r>
      <w:r w:rsidR="00FE1DBA" w:rsidRPr="00975F85">
        <w:t xml:space="preserve"> </w:t>
      </w:r>
      <w:r w:rsidR="00106BBE" w:rsidRPr="00975F85">
        <w:t>responses</w:t>
      </w:r>
      <w:r w:rsidR="002A6695">
        <w:t xml:space="preserve"> to this item</w:t>
      </w:r>
      <w:r w:rsidR="00FE1DBA" w:rsidRPr="00975F85">
        <w:t xml:space="preserve">, </w:t>
      </w:r>
      <w:r w:rsidR="00106BBE" w:rsidRPr="00975F85">
        <w:t xml:space="preserve">QAs and QTs recommended </w:t>
      </w:r>
      <w:r w:rsidR="00FE1DBA" w:rsidRPr="00A84BA5">
        <w:t xml:space="preserve">four areas </w:t>
      </w:r>
      <w:r w:rsidR="00031512" w:rsidRPr="00A84BA5">
        <w:t>of improvement</w:t>
      </w:r>
      <w:r w:rsidR="00DB5AC7" w:rsidRPr="00A84BA5">
        <w:t xml:space="preserve"> (in order of greatest frequency to least)</w:t>
      </w:r>
      <w:r w:rsidR="00FE1DBA" w:rsidRPr="00A84BA5">
        <w:t>:</w:t>
      </w:r>
    </w:p>
    <w:p w14:paraId="230CF584" w14:textId="2C9D4F3D" w:rsidR="00CB0576" w:rsidRDefault="00CB0576" w:rsidP="00CB0576">
      <w:pPr>
        <w:pStyle w:val="ListParagraph"/>
        <w:numPr>
          <w:ilvl w:val="0"/>
          <w:numId w:val="9"/>
        </w:numPr>
        <w:spacing w:line="480" w:lineRule="auto"/>
      </w:pPr>
      <w:r>
        <w:t xml:space="preserve">Option to electronically administer the test, so that scoring can be automatically </w:t>
      </w:r>
      <w:r w:rsidR="00381EA9">
        <w:t>computed</w:t>
      </w:r>
      <w:r w:rsidR="00B53B1C">
        <w:t>.</w:t>
      </w:r>
    </w:p>
    <w:p w14:paraId="52B49331" w14:textId="32BF427C" w:rsidR="00B82650" w:rsidRDefault="00B82650" w:rsidP="00B82650">
      <w:pPr>
        <w:pStyle w:val="ListParagraph"/>
        <w:numPr>
          <w:ilvl w:val="0"/>
          <w:numId w:val="9"/>
        </w:numPr>
        <w:spacing w:line="480" w:lineRule="auto"/>
      </w:pPr>
      <w:r>
        <w:t>A</w:t>
      </w:r>
      <w:r w:rsidRPr="00FD5183">
        <w:t>n assessment for students who cannot access reduced complexity academic tests due to severe limitations is needed, focusing on functional skills</w:t>
      </w:r>
      <w:r w:rsidR="00381EA9">
        <w:t>.</w:t>
      </w:r>
    </w:p>
    <w:p w14:paraId="24EC74B2" w14:textId="456402DF" w:rsidR="00205AC4" w:rsidRDefault="00205AC4" w:rsidP="00205AC4">
      <w:pPr>
        <w:pStyle w:val="ListParagraph"/>
        <w:numPr>
          <w:ilvl w:val="0"/>
          <w:numId w:val="9"/>
        </w:numPr>
        <w:spacing w:line="480" w:lineRule="auto"/>
      </w:pPr>
      <w:r>
        <w:t>A</w:t>
      </w:r>
      <w:r w:rsidRPr="00D243A4">
        <w:t xml:space="preserve"> new assessment (or new items) should be developed to better m</w:t>
      </w:r>
      <w:r w:rsidR="00335765">
        <w:t>atch</w:t>
      </w:r>
      <w:r w:rsidRPr="00D243A4">
        <w:t xml:space="preserve"> the varying </w:t>
      </w:r>
      <w:r>
        <w:t xml:space="preserve">levels of </w:t>
      </w:r>
      <w:r w:rsidRPr="00D243A4">
        <w:t xml:space="preserve">abilities </w:t>
      </w:r>
      <w:r w:rsidR="00381EA9">
        <w:t xml:space="preserve">across the range of SWSCD, </w:t>
      </w:r>
      <w:r>
        <w:t>and</w:t>
      </w:r>
    </w:p>
    <w:p w14:paraId="543E0C41" w14:textId="123461BF" w:rsidR="00CB0576" w:rsidRDefault="002A6695" w:rsidP="00CB0576">
      <w:pPr>
        <w:pStyle w:val="ListParagraph"/>
        <w:numPr>
          <w:ilvl w:val="0"/>
          <w:numId w:val="9"/>
        </w:numPr>
        <w:spacing w:line="480" w:lineRule="auto"/>
      </w:pPr>
      <w:r>
        <w:t>T</w:t>
      </w:r>
      <w:r w:rsidR="00FC6C96" w:rsidRPr="00FD5183">
        <w:t xml:space="preserve">he </w:t>
      </w:r>
      <w:r w:rsidR="00B82650">
        <w:t>math</w:t>
      </w:r>
      <w:r w:rsidR="00B82650" w:rsidRPr="00FD5183">
        <w:t xml:space="preserve"> </w:t>
      </w:r>
      <w:r w:rsidR="00FC6C96" w:rsidRPr="00FD5183">
        <w:t xml:space="preserve">assessment should include </w:t>
      </w:r>
      <w:r w:rsidR="00304F59" w:rsidRPr="00FD5183">
        <w:t>more practical</w:t>
      </w:r>
      <w:r w:rsidR="007A3D79" w:rsidRPr="00FD5183">
        <w:t>/life skills</w:t>
      </w:r>
      <w:r w:rsidR="00AE7798" w:rsidRPr="00FD5183">
        <w:t xml:space="preserve"> focused</w:t>
      </w:r>
      <w:r w:rsidR="00304F59" w:rsidRPr="00FD5183">
        <w:t xml:space="preserve"> items</w:t>
      </w:r>
      <w:r w:rsidR="0062231F">
        <w:t xml:space="preserve"> (i.e.</w:t>
      </w:r>
      <w:r w:rsidR="00B82650">
        <w:t>,</w:t>
      </w:r>
      <w:r w:rsidR="0062231F">
        <w:t xml:space="preserve"> money, time)</w:t>
      </w:r>
      <w:r w:rsidR="00B82650">
        <w:t xml:space="preserve"> rather than complex mathematical c</w:t>
      </w:r>
      <w:r w:rsidR="0062231F">
        <w:t xml:space="preserve">oncepts that are </w:t>
      </w:r>
      <w:r w:rsidR="00A25059">
        <w:t>too advanced for this population</w:t>
      </w:r>
      <w:r w:rsidR="0062231F">
        <w:t xml:space="preserve"> (i.e., </w:t>
      </w:r>
      <w:r w:rsidR="00A25059">
        <w:t xml:space="preserve">numerical </w:t>
      </w:r>
      <w:r w:rsidR="0062231F">
        <w:t>coordinates, algebraic thinking)</w:t>
      </w:r>
    </w:p>
    <w:p w14:paraId="619BD5BF" w14:textId="07003215" w:rsidR="00A53639" w:rsidRDefault="009C1F76" w:rsidP="00A53639">
      <w:pPr>
        <w:spacing w:line="480" w:lineRule="auto"/>
        <w:ind w:firstLine="720"/>
      </w:pPr>
      <w:r>
        <w:rPr>
          <w:color w:val="000000"/>
        </w:rPr>
        <w:lastRenderedPageBreak/>
        <w:t>The third</w:t>
      </w:r>
      <w:r w:rsidRPr="00975F85">
        <w:rPr>
          <w:color w:val="000000"/>
        </w:rPr>
        <w:t xml:space="preserve"> qualitative response item asked respondents to </w:t>
      </w:r>
      <w:r w:rsidR="00794649">
        <w:rPr>
          <w:color w:val="000000"/>
        </w:rPr>
        <w:t xml:space="preserve">describe </w:t>
      </w:r>
      <w:r w:rsidR="00616B1D">
        <w:rPr>
          <w:color w:val="000000"/>
        </w:rPr>
        <w:t>their understanding and use of the curricular and instructional resources available through the lms.brtprojects.org website</w:t>
      </w:r>
      <w:r w:rsidR="009F376A">
        <w:rPr>
          <w:color w:val="000000"/>
        </w:rPr>
        <w:t xml:space="preserve">. </w:t>
      </w:r>
      <w:r w:rsidR="00794649">
        <w:rPr>
          <w:color w:val="000000"/>
        </w:rPr>
        <w:t xml:space="preserve">Across the </w:t>
      </w:r>
      <w:r w:rsidR="00381EA9">
        <w:rPr>
          <w:color w:val="000000"/>
        </w:rPr>
        <w:t>1</w:t>
      </w:r>
      <w:r w:rsidR="008D3538">
        <w:rPr>
          <w:color w:val="000000"/>
        </w:rPr>
        <w:t>91</w:t>
      </w:r>
      <w:r w:rsidR="00794649">
        <w:rPr>
          <w:color w:val="000000"/>
        </w:rPr>
        <w:t xml:space="preserve"> responses, QAs and QTs </w:t>
      </w:r>
      <w:r w:rsidR="00B7119D">
        <w:rPr>
          <w:color w:val="000000"/>
        </w:rPr>
        <w:t xml:space="preserve">provided </w:t>
      </w:r>
      <w:r w:rsidR="00A643C0">
        <w:rPr>
          <w:color w:val="000000"/>
        </w:rPr>
        <w:t xml:space="preserve">two </w:t>
      </w:r>
      <w:r w:rsidR="00B7119D" w:rsidRPr="00B7119D">
        <w:rPr>
          <w:color w:val="000000"/>
        </w:rPr>
        <w:t>areas of descriptions</w:t>
      </w:r>
      <w:r w:rsidRPr="00B7119D">
        <w:t xml:space="preserve"> (in order of greatest frequency to least):</w:t>
      </w:r>
    </w:p>
    <w:p w14:paraId="4321F2E7" w14:textId="08A8361F" w:rsidR="00B7119D" w:rsidRDefault="00244997" w:rsidP="00B7119D">
      <w:pPr>
        <w:pStyle w:val="ListParagraph"/>
        <w:numPr>
          <w:ilvl w:val="0"/>
          <w:numId w:val="11"/>
        </w:numPr>
        <w:spacing w:line="480" w:lineRule="auto"/>
      </w:pPr>
      <w:r>
        <w:t>Minimal</w:t>
      </w:r>
      <w:r w:rsidR="00121BBD">
        <w:t xml:space="preserve"> knowledge and use of the resources due to various factors</w:t>
      </w:r>
      <w:r w:rsidR="00D852C5">
        <w:t xml:space="preserve">, for example, being </w:t>
      </w:r>
      <w:r w:rsidR="00121BBD">
        <w:t xml:space="preserve">unaware of its availability, </w:t>
      </w:r>
      <w:r w:rsidR="00717A32">
        <w:t>not access</w:t>
      </w:r>
      <w:r w:rsidR="00D852C5">
        <w:t>ing the</w:t>
      </w:r>
      <w:r w:rsidR="00717A32">
        <w:t xml:space="preserve"> training</w:t>
      </w:r>
      <w:r w:rsidR="00D852C5">
        <w:t>, etc.</w:t>
      </w:r>
      <w:r w:rsidR="002B6944">
        <w:t xml:space="preserve"> </w:t>
      </w:r>
    </w:p>
    <w:p w14:paraId="01C813A3" w14:textId="02566E94" w:rsidR="00C65B72" w:rsidRDefault="00A643C0" w:rsidP="00C65B72">
      <w:pPr>
        <w:pStyle w:val="ListParagraph"/>
        <w:numPr>
          <w:ilvl w:val="0"/>
          <w:numId w:val="11"/>
        </w:numPr>
        <w:spacing w:line="480" w:lineRule="auto"/>
      </w:pPr>
      <w:r>
        <w:t>Provides resources to help teachers</w:t>
      </w:r>
      <w:r w:rsidR="0091799B">
        <w:t xml:space="preserve"> with test administrations (i.e., easyCBM) and</w:t>
      </w:r>
      <w:r>
        <w:t xml:space="preserve"> write IEP goals and apply CCSS in their development</w:t>
      </w:r>
      <w:r w:rsidR="00381EA9">
        <w:t>.</w:t>
      </w:r>
    </w:p>
    <w:p w14:paraId="294E45DE" w14:textId="6AD96F5E" w:rsidR="0001408A" w:rsidRPr="004E424B" w:rsidRDefault="0001408A" w:rsidP="00E12C21">
      <w:pPr>
        <w:spacing w:line="480" w:lineRule="auto"/>
        <w:rPr>
          <w:b/>
        </w:rPr>
      </w:pPr>
      <w:r w:rsidRPr="004E424B">
        <w:rPr>
          <w:b/>
        </w:rPr>
        <w:t>Test Administration and Design</w:t>
      </w:r>
    </w:p>
    <w:p w14:paraId="4879A17A" w14:textId="48D4F30E" w:rsidR="00D852C5" w:rsidRDefault="00783DDC" w:rsidP="00A05346">
      <w:pPr>
        <w:spacing w:line="480" w:lineRule="auto"/>
        <w:ind w:firstLine="720"/>
      </w:pPr>
      <w:r w:rsidRPr="00374FF3">
        <w:t>Overall</w:t>
      </w:r>
      <w:r w:rsidR="0001408A" w:rsidRPr="00374FF3">
        <w:t>,</w:t>
      </w:r>
      <w:r w:rsidRPr="00374FF3">
        <w:t xml:space="preserve"> QAs and QTs overwhelmingly indicated that the ORExt test was easy to </w:t>
      </w:r>
      <w:r w:rsidR="002B671C" w:rsidRPr="00374FF3">
        <w:t>administer and score, with about 9</w:t>
      </w:r>
      <w:r w:rsidR="00EE3C62">
        <w:t>7</w:t>
      </w:r>
      <w:r w:rsidR="002B671C" w:rsidRPr="00374FF3">
        <w:t xml:space="preserve">% </w:t>
      </w:r>
      <w:r w:rsidRPr="00374FF3">
        <w:t xml:space="preserve">agreeing or strongly agreeing with the quantitative survey statement. </w:t>
      </w:r>
      <w:r w:rsidRPr="00183B3E">
        <w:t xml:space="preserve">Similarly, respondents felt the test was accessible to their SWSCD, with </w:t>
      </w:r>
      <w:r w:rsidR="00374FF3" w:rsidRPr="00FD5183">
        <w:t xml:space="preserve">about </w:t>
      </w:r>
      <w:r w:rsidR="00EE3C62">
        <w:t>77</w:t>
      </w:r>
      <w:r w:rsidR="00374FF3" w:rsidRPr="00FD5183">
        <w:t>%</w:t>
      </w:r>
      <w:r w:rsidRPr="00183B3E">
        <w:t xml:space="preserve"> of individuals agreeing or strongly agreeing</w:t>
      </w:r>
      <w:r w:rsidR="008B2387">
        <w:t xml:space="preserve">, and that the </w:t>
      </w:r>
      <w:r w:rsidR="00F87068">
        <w:t>performances required by the test items are appropriate behaviors to review for those students, with about 83% of individuals agreeing or strongly agreeing.</w:t>
      </w:r>
      <w:r w:rsidR="0001408A" w:rsidRPr="00183B3E">
        <w:t xml:space="preserve"> </w:t>
      </w:r>
      <w:r w:rsidR="00D852C5">
        <w:t>Survey results suggest that the test is an efficient way to gather academic information for SWSCD.</w:t>
      </w:r>
    </w:p>
    <w:p w14:paraId="6D333954" w14:textId="6427349C" w:rsidR="00D852C5" w:rsidRDefault="00D852C5" w:rsidP="00A05346">
      <w:pPr>
        <w:spacing w:line="480" w:lineRule="auto"/>
        <w:ind w:firstLine="720"/>
      </w:pPr>
      <w:r>
        <w:t>Respondents’</w:t>
      </w:r>
      <w:r w:rsidR="0055359B">
        <w:t xml:space="preserve"> access to the necessary curricular to teach academic skills that are aligned to the Essentialized Assessment Frameworks</w:t>
      </w:r>
      <w:r>
        <w:t xml:space="preserve"> appears to be limited</w:t>
      </w:r>
      <w:r w:rsidR="0055359B">
        <w:t>,</w:t>
      </w:r>
      <w:r>
        <w:t xml:space="preserve"> as</w:t>
      </w:r>
      <w:r w:rsidR="0055359B">
        <w:t xml:space="preserve"> most QTs and QAs indicated a mildly negative response with 53% of individuals either disagreeing or strongly disagreeing. </w:t>
      </w:r>
      <w:r>
        <w:t>This result is expected given that the curricular effort related to SWSCD is in its nascent period in Oregon. Efforts are underway to expand the availability and generalizability of these resources through coordinated efforts with ODE’s curricular and content area specialists.</w:t>
      </w:r>
    </w:p>
    <w:p w14:paraId="0018FCCE" w14:textId="741CCB67" w:rsidR="008A5743" w:rsidRDefault="00D852C5" w:rsidP="00A05346">
      <w:pPr>
        <w:spacing w:line="480" w:lineRule="auto"/>
        <w:ind w:firstLine="720"/>
        <w:rPr>
          <w:color w:val="000000"/>
        </w:rPr>
      </w:pPr>
      <w:r>
        <w:lastRenderedPageBreak/>
        <w:t>T</w:t>
      </w:r>
      <w:r w:rsidR="0055359B">
        <w:t>he majority of the respondents stated that they felt confident in interpreting the scores and the relative achievement level descriptors of the test, with 7</w:t>
      </w:r>
      <w:r w:rsidR="00381EA9">
        <w:t>0</w:t>
      </w:r>
      <w:r w:rsidR="0055359B">
        <w:t xml:space="preserve">% of individuals </w:t>
      </w:r>
      <w:r w:rsidR="00381EA9">
        <w:t xml:space="preserve">agreeing or strongly agreeing. </w:t>
      </w:r>
      <w:r w:rsidR="0001408A" w:rsidRPr="00BC1964">
        <w:t>Respondents</w:t>
      </w:r>
      <w:r w:rsidR="008A5743">
        <w:t>’</w:t>
      </w:r>
      <w:r w:rsidR="0001408A" w:rsidRPr="00BC1964">
        <w:t xml:space="preserve"> open-ended statements complemented </w:t>
      </w:r>
      <w:r w:rsidR="00645F15" w:rsidRPr="00AC7CB7">
        <w:t>the</w:t>
      </w:r>
      <w:r w:rsidR="002B671C" w:rsidRPr="00AC7CB7">
        <w:t>se</w:t>
      </w:r>
      <w:r w:rsidR="0001408A" w:rsidRPr="00AC7CB7">
        <w:t xml:space="preserve"> quantitative results, with over </w:t>
      </w:r>
      <w:r w:rsidR="002013DD">
        <w:t>80</w:t>
      </w:r>
      <w:r w:rsidR="0001408A" w:rsidRPr="00AC7CB7">
        <w:t>% of QAs and QTs commenting positively</w:t>
      </w:r>
      <w:r w:rsidR="00645F15" w:rsidRPr="00AC7CB7">
        <w:t xml:space="preserve"> in some manner</w:t>
      </w:r>
      <w:r w:rsidR="0001408A" w:rsidRPr="00AC7CB7">
        <w:t xml:space="preserve"> </w:t>
      </w:r>
      <w:r w:rsidR="00645F15" w:rsidRPr="00AC7CB7">
        <w:t>about</w:t>
      </w:r>
      <w:r w:rsidR="0001408A" w:rsidRPr="00AC7CB7">
        <w:t xml:space="preserve"> that ease of test administration/scoring</w:t>
      </w:r>
      <w:r w:rsidR="00645F15" w:rsidRPr="00AC7CB7">
        <w:t xml:space="preserve"> (</w:t>
      </w:r>
      <w:r w:rsidR="002013DD">
        <w:t>7</w:t>
      </w:r>
      <w:r w:rsidR="000B7B19">
        <w:t>5</w:t>
      </w:r>
      <w:r w:rsidR="00645F15" w:rsidRPr="00AC7CB7">
        <w:t>%)</w:t>
      </w:r>
      <w:r w:rsidR="000B7B19">
        <w:t xml:space="preserve"> </w:t>
      </w:r>
      <w:r w:rsidR="00645F15" w:rsidRPr="00AC7CB7">
        <w:t>and item design/accessibility for SWSCD (</w:t>
      </w:r>
      <w:r w:rsidR="002013DD">
        <w:t>6</w:t>
      </w:r>
      <w:r w:rsidR="000B7B19">
        <w:t>1</w:t>
      </w:r>
      <w:r w:rsidR="00645F15" w:rsidRPr="00AC7CB7">
        <w:t>%)</w:t>
      </w:r>
      <w:r w:rsidR="000B7B19">
        <w:t xml:space="preserve">. </w:t>
      </w:r>
      <w:r w:rsidR="003A55AB">
        <w:t xml:space="preserve">Furthermore, </w:t>
      </w:r>
      <w:r w:rsidR="00211367">
        <w:t>the majority</w:t>
      </w:r>
      <w:r w:rsidR="00645F15" w:rsidRPr="003A55AB">
        <w:t xml:space="preserve"> of the responding QAs and QTs in Oregon felt the ORExt accurately</w:t>
      </w:r>
      <w:r w:rsidR="00645F15" w:rsidRPr="003A55AB">
        <w:rPr>
          <w:color w:val="000000"/>
        </w:rPr>
        <w:t xml:space="preserve"> reflected academic content that their SWSCD </w:t>
      </w:r>
      <w:r w:rsidR="00832606">
        <w:rPr>
          <w:color w:val="000000"/>
        </w:rPr>
        <w:t>should be</w:t>
      </w:r>
      <w:r w:rsidR="00645F15" w:rsidRPr="003A55AB">
        <w:rPr>
          <w:color w:val="000000"/>
        </w:rPr>
        <w:t xml:space="preserve"> learning in school</w:t>
      </w:r>
      <w:r w:rsidR="00211367">
        <w:rPr>
          <w:color w:val="000000"/>
        </w:rPr>
        <w:t xml:space="preserve"> (</w:t>
      </w:r>
      <w:r w:rsidR="002013DD">
        <w:rPr>
          <w:color w:val="000000"/>
        </w:rPr>
        <w:t>72</w:t>
      </w:r>
      <w:r w:rsidR="00D47730">
        <w:rPr>
          <w:color w:val="000000"/>
        </w:rPr>
        <w:t>%).</w:t>
      </w:r>
    </w:p>
    <w:p w14:paraId="73333E95" w14:textId="71151E98" w:rsidR="00B918D8" w:rsidRDefault="003A55AB" w:rsidP="00A05346">
      <w:pPr>
        <w:spacing w:line="480" w:lineRule="auto"/>
        <w:ind w:firstLine="720"/>
      </w:pPr>
      <w:r w:rsidRPr="00FD5183">
        <w:rPr>
          <w:color w:val="000000"/>
        </w:rPr>
        <w:t>As a higher percentage of positive responses is desired, w</w:t>
      </w:r>
      <w:r w:rsidR="00B90D7C" w:rsidRPr="00AC0523">
        <w:rPr>
          <w:color w:val="000000"/>
        </w:rPr>
        <w:t>e anticipate better alignment between assessment and instruction in the coming academic year</w:t>
      </w:r>
      <w:r w:rsidR="00832606">
        <w:rPr>
          <w:color w:val="000000"/>
        </w:rPr>
        <w:t>s</w:t>
      </w:r>
      <w:r w:rsidR="00B90D7C" w:rsidRPr="00AC0523">
        <w:rPr>
          <w:color w:val="000000"/>
        </w:rPr>
        <w:t xml:space="preserve">, as new curricula are developed and teachers are further trained and more accustomed to the </w:t>
      </w:r>
      <w:r w:rsidR="008A5743">
        <w:rPr>
          <w:color w:val="000000"/>
        </w:rPr>
        <w:t xml:space="preserve">essentialized standards </w:t>
      </w:r>
      <w:r w:rsidR="00B90D7C" w:rsidRPr="00AC0523">
        <w:rPr>
          <w:color w:val="000000"/>
        </w:rPr>
        <w:t>E</w:t>
      </w:r>
      <w:r w:rsidR="008A5743">
        <w:rPr>
          <w:color w:val="000000"/>
        </w:rPr>
        <w:t>sSt</w:t>
      </w:r>
      <w:r w:rsidR="00B90D7C" w:rsidRPr="00AC0523">
        <w:rPr>
          <w:color w:val="000000"/>
        </w:rPr>
        <w:t>.</w:t>
      </w:r>
      <w:r w:rsidR="00A05346" w:rsidRPr="00AC0523">
        <w:t xml:space="preserve"> </w:t>
      </w:r>
      <w:r w:rsidRPr="00FD5183">
        <w:rPr>
          <w:color w:val="000000"/>
        </w:rPr>
        <w:t>Test items were written to align with E</w:t>
      </w:r>
      <w:r w:rsidR="008A5743">
        <w:rPr>
          <w:color w:val="000000"/>
        </w:rPr>
        <w:t>sSt</w:t>
      </w:r>
      <w:r w:rsidRPr="00FD5183">
        <w:rPr>
          <w:color w:val="000000"/>
        </w:rPr>
        <w:t xml:space="preserve"> designed to appropriately link to the Common Core State Standards (CCSS)</w:t>
      </w:r>
      <w:r w:rsidR="007D2E59">
        <w:rPr>
          <w:color w:val="000000"/>
        </w:rPr>
        <w:t xml:space="preserve"> and Next Generation Science Standards (NGSS)</w:t>
      </w:r>
      <w:r w:rsidRPr="00FD5183">
        <w:rPr>
          <w:color w:val="000000"/>
        </w:rPr>
        <w:t>, though</w:t>
      </w:r>
      <w:r w:rsidR="007D2E59">
        <w:rPr>
          <w:color w:val="000000"/>
        </w:rPr>
        <w:t xml:space="preserve"> reduced</w:t>
      </w:r>
      <w:r w:rsidRPr="00FD5183">
        <w:rPr>
          <w:color w:val="000000"/>
        </w:rPr>
        <w:t xml:space="preserve"> in depth, breadth and complexity. </w:t>
      </w:r>
      <w:r w:rsidR="00A05346" w:rsidRPr="00A85E92">
        <w:t>O</w:t>
      </w:r>
      <w:r w:rsidR="00645F15" w:rsidRPr="00A85E92">
        <w:t>verall</w:t>
      </w:r>
      <w:r w:rsidR="00A05346" w:rsidRPr="00A85E92">
        <w:t>, however,</w:t>
      </w:r>
      <w:r w:rsidR="00645F15" w:rsidRPr="00A85E92">
        <w:t xml:space="preserve"> it appears that Oregon QAs and QTs are pleased with the ORExt</w:t>
      </w:r>
      <w:r w:rsidR="00664280" w:rsidRPr="00A85E92">
        <w:t xml:space="preserve"> test administration and design</w:t>
      </w:r>
      <w:r w:rsidR="007D2E59">
        <w:t>.</w:t>
      </w:r>
    </w:p>
    <w:p w14:paraId="20814751" w14:textId="67B59635" w:rsidR="00645F15" w:rsidRPr="00250820" w:rsidRDefault="002B671C" w:rsidP="00E12C21">
      <w:pPr>
        <w:spacing w:line="480" w:lineRule="auto"/>
        <w:rPr>
          <w:b/>
        </w:rPr>
      </w:pPr>
      <w:r w:rsidRPr="00250820">
        <w:rPr>
          <w:b/>
        </w:rPr>
        <w:t>Educational Impact</w:t>
      </w:r>
    </w:p>
    <w:p w14:paraId="4197497A" w14:textId="34FDED24" w:rsidR="00B918D8" w:rsidRPr="0086417A" w:rsidRDefault="008154A4" w:rsidP="00CA6A39">
      <w:pPr>
        <w:spacing w:line="480" w:lineRule="auto"/>
        <w:ind w:firstLine="720"/>
      </w:pPr>
      <w:r w:rsidRPr="00611C09">
        <w:t xml:space="preserve">Across all responding QAs and QTs, </w:t>
      </w:r>
      <w:r w:rsidR="0039590F">
        <w:t xml:space="preserve">there was a general agreement regarding </w:t>
      </w:r>
      <w:r w:rsidR="003F0E1D">
        <w:t xml:space="preserve">some of </w:t>
      </w:r>
      <w:r w:rsidR="0039590F">
        <w:t>the</w:t>
      </w:r>
      <w:r w:rsidR="00C46224" w:rsidRPr="00611C09">
        <w:t xml:space="preserve"> </w:t>
      </w:r>
      <w:r w:rsidR="006F1DA9" w:rsidRPr="00611C09">
        <w:t xml:space="preserve">potentially positive </w:t>
      </w:r>
      <w:r w:rsidR="00C46224" w:rsidRPr="00611C09">
        <w:t xml:space="preserve">educational impacts </w:t>
      </w:r>
      <w:r w:rsidR="006F1DA9" w:rsidRPr="00611C09">
        <w:t>from ORExt implementation</w:t>
      </w:r>
      <w:r w:rsidR="006F6B4D" w:rsidRPr="00980DCF">
        <w:t>.</w:t>
      </w:r>
      <w:r w:rsidR="00A62285" w:rsidRPr="00980DCF">
        <w:t xml:space="preserve"> </w:t>
      </w:r>
      <w:r w:rsidR="00CA6A39">
        <w:t>Respondents</w:t>
      </w:r>
      <w:r w:rsidR="00A62285" w:rsidRPr="00A84FA9">
        <w:t xml:space="preserve"> were </w:t>
      </w:r>
      <w:r w:rsidR="009D6832">
        <w:t>positive</w:t>
      </w:r>
      <w:r w:rsidR="00A62285" w:rsidRPr="00A84FA9">
        <w:t xml:space="preserve"> </w:t>
      </w:r>
      <w:r w:rsidR="009D6832">
        <w:t>that the</w:t>
      </w:r>
      <w:r w:rsidR="002A2536" w:rsidRPr="00A84FA9">
        <w:t xml:space="preserve"> ORExt increased educator understanding of </w:t>
      </w:r>
      <w:r w:rsidR="009D6832">
        <w:t>and</w:t>
      </w:r>
      <w:r w:rsidR="002A2536" w:rsidRPr="00A84FA9">
        <w:t xml:space="preserve"> </w:t>
      </w:r>
      <w:r w:rsidR="002A2536" w:rsidRPr="00A84FA9">
        <w:rPr>
          <w:color w:val="000000"/>
        </w:rPr>
        <w:t xml:space="preserve">provided new assessment models from </w:t>
      </w:r>
      <w:r w:rsidR="002A2536" w:rsidRPr="00A84FA9">
        <w:t>academic content.</w:t>
      </w:r>
      <w:r w:rsidR="007B1701" w:rsidRPr="00A84FA9">
        <w:t xml:space="preserve"> </w:t>
      </w:r>
      <w:r w:rsidR="003F0E1D">
        <w:t xml:space="preserve">Additionally, many respondents believed that the ORExt improved the way in which classroom assessments are designed and administered, as well as increased the development of academic goals and IEP objectives </w:t>
      </w:r>
      <w:r w:rsidR="003F0E1D">
        <w:lastRenderedPageBreak/>
        <w:t xml:space="preserve">for their SWSCD. </w:t>
      </w:r>
      <w:r w:rsidR="007B1701" w:rsidRPr="005F3D01">
        <w:t>QA and QT opinions regarding other educational impacts of the ORExt</w:t>
      </w:r>
      <w:r w:rsidR="003B49D3">
        <w:t xml:space="preserve"> were not as positive</w:t>
      </w:r>
      <w:r w:rsidR="007B1701" w:rsidRPr="005F3D01">
        <w:t xml:space="preserve">. </w:t>
      </w:r>
      <w:r w:rsidR="00B918D8">
        <w:t xml:space="preserve">For example, </w:t>
      </w:r>
      <w:r w:rsidR="007B1701" w:rsidRPr="00375887">
        <w:t xml:space="preserve">respondents did not feel </w:t>
      </w:r>
      <w:r w:rsidR="00B918D8">
        <w:t xml:space="preserve">that </w:t>
      </w:r>
      <w:r w:rsidR="007B1701" w:rsidRPr="00375887">
        <w:t xml:space="preserve">ORExt implementation </w:t>
      </w:r>
      <w:r w:rsidR="001347ED">
        <w:t>positively impacted</w:t>
      </w:r>
      <w:r w:rsidR="007B1701" w:rsidRPr="00375887">
        <w:rPr>
          <w:color w:val="000000"/>
        </w:rPr>
        <w:t xml:space="preserve"> curricular and instructional </w:t>
      </w:r>
      <w:r w:rsidR="001347ED">
        <w:rPr>
          <w:color w:val="000000"/>
        </w:rPr>
        <w:t xml:space="preserve">approaches used for SWSCD </w:t>
      </w:r>
      <w:r w:rsidR="007B1701" w:rsidRPr="00375887">
        <w:t xml:space="preserve">or increased </w:t>
      </w:r>
      <w:r w:rsidR="007B1701" w:rsidRPr="00375887">
        <w:rPr>
          <w:color w:val="000000"/>
        </w:rPr>
        <w:t xml:space="preserve">access to the general education curriculum. </w:t>
      </w:r>
      <w:r w:rsidR="007B1701" w:rsidRPr="00C92B8E">
        <w:rPr>
          <w:color w:val="000000"/>
        </w:rPr>
        <w:t>Through curricular approaches currently being designed and further training on test content and administration, positive opinion in these areas might grow in future academic years.</w:t>
      </w:r>
    </w:p>
    <w:p w14:paraId="59F208CA" w14:textId="77777777" w:rsidR="007F276B" w:rsidRPr="00184AAE" w:rsidRDefault="007F276B" w:rsidP="007F276B">
      <w:pPr>
        <w:spacing w:line="480" w:lineRule="auto"/>
        <w:jc w:val="center"/>
        <w:rPr>
          <w:b/>
        </w:rPr>
      </w:pPr>
      <w:r w:rsidRPr="00184AAE">
        <w:rPr>
          <w:b/>
        </w:rPr>
        <w:t>Discussion</w:t>
      </w:r>
    </w:p>
    <w:p w14:paraId="37FD099C" w14:textId="53884E2F" w:rsidR="005C1A27" w:rsidRDefault="007F276B" w:rsidP="007F276B">
      <w:pPr>
        <w:spacing w:line="480" w:lineRule="auto"/>
        <w:ind w:firstLine="720"/>
      </w:pPr>
      <w:r w:rsidRPr="00184AAE">
        <w:t xml:space="preserve">Results from the </w:t>
      </w:r>
      <w:r w:rsidR="00593F5B">
        <w:t>fourth</w:t>
      </w:r>
      <w:r w:rsidR="00593F5B" w:rsidRPr="00184AAE">
        <w:t xml:space="preserve"> </w:t>
      </w:r>
      <w:r w:rsidRPr="00184AAE">
        <w:t xml:space="preserve">ORExt consequential validity study point to </w:t>
      </w:r>
      <w:r w:rsidR="00605F72">
        <w:t xml:space="preserve">historical concerns that are not possible to address, </w:t>
      </w:r>
      <w:r w:rsidR="003B49D3">
        <w:t xml:space="preserve">such as the ongoing tension between assessing life skills and academics, </w:t>
      </w:r>
      <w:r w:rsidR="00605F72">
        <w:t xml:space="preserve">but also to </w:t>
      </w:r>
      <w:r w:rsidRPr="00184AAE">
        <w:t xml:space="preserve">some actionable steps with a focus toward continuous improvement. </w:t>
      </w:r>
      <w:r w:rsidRPr="008245B6">
        <w:t xml:space="preserve">Respondents </w:t>
      </w:r>
      <w:r w:rsidRPr="00E05AB5">
        <w:t>pointed to positive attributes of the ORExt, especially those involving tes</w:t>
      </w:r>
      <w:r w:rsidR="00DA1B5F">
        <w:t>t administration and design</w:t>
      </w:r>
      <w:r w:rsidR="00711179">
        <w:t xml:space="preserve"> and </w:t>
      </w:r>
      <w:r w:rsidRPr="00E05AB5">
        <w:t>felt</w:t>
      </w:r>
      <w:r w:rsidR="00DA1B5F">
        <w:t xml:space="preserve"> somewhat positive </w:t>
      </w:r>
      <w:r w:rsidRPr="00E05AB5">
        <w:t xml:space="preserve">regarding </w:t>
      </w:r>
      <w:r w:rsidR="007753EE">
        <w:t xml:space="preserve">various </w:t>
      </w:r>
      <w:r w:rsidRPr="00E05AB5">
        <w:t xml:space="preserve">educational </w:t>
      </w:r>
      <w:r w:rsidR="00DA1B5F">
        <w:t>impacts of the ORExt</w:t>
      </w:r>
      <w:r w:rsidR="00640F67">
        <w:t>.</w:t>
      </w:r>
      <w:r w:rsidR="00807FA6">
        <w:t xml:space="preserve"> </w:t>
      </w:r>
    </w:p>
    <w:p w14:paraId="26302518" w14:textId="539E8417" w:rsidR="007753EE" w:rsidRDefault="007753EE" w:rsidP="007F276B">
      <w:pPr>
        <w:spacing w:line="480" w:lineRule="auto"/>
        <w:ind w:firstLine="720"/>
      </w:pPr>
      <w:r>
        <w:t>To better ensure the efficient administration and utility of the ORExt, efforts should be made to effectively disseminate the knowledge and access of the curricular and instructional resources available through the lms.brtprojects.org</w:t>
      </w:r>
      <w:r w:rsidR="003B49D3">
        <w:t xml:space="preserve"> website</w:t>
      </w:r>
      <w:r>
        <w:t xml:space="preserve">. </w:t>
      </w:r>
      <w:r w:rsidR="00AA57F7">
        <w:t>The majority of the educators indicated that they were unaware of these resources, but voiced enthusiasm to obtain more information</w:t>
      </w:r>
      <w:r w:rsidR="00BF2350">
        <w:t xml:space="preserve"> and training</w:t>
      </w:r>
      <w:r w:rsidR="00AA57F7">
        <w:t xml:space="preserve"> regarding their use and the steps to navigate the website. </w:t>
      </w:r>
    </w:p>
    <w:p w14:paraId="6D545EC2" w14:textId="77777777" w:rsidR="003B49D3" w:rsidRDefault="003B49D3">
      <w:pPr>
        <w:rPr>
          <w:b/>
        </w:rPr>
      </w:pPr>
      <w:r>
        <w:rPr>
          <w:b/>
        </w:rPr>
        <w:br w:type="page"/>
      </w:r>
    </w:p>
    <w:p w14:paraId="5733920E" w14:textId="6752C4CA" w:rsidR="003D0B26" w:rsidRPr="00C92B8E" w:rsidRDefault="003D0B26" w:rsidP="007F276B">
      <w:pPr>
        <w:spacing w:line="480" w:lineRule="auto"/>
        <w:jc w:val="center"/>
        <w:rPr>
          <w:b/>
        </w:rPr>
      </w:pPr>
      <w:r w:rsidRPr="00C92B8E">
        <w:rPr>
          <w:b/>
        </w:rPr>
        <w:lastRenderedPageBreak/>
        <w:t xml:space="preserve">Suggestions for </w:t>
      </w:r>
      <w:r w:rsidRPr="00206B1D">
        <w:rPr>
          <w:b/>
        </w:rPr>
        <w:t>Improvement</w:t>
      </w:r>
    </w:p>
    <w:p w14:paraId="497FCFD5" w14:textId="0C7F506E" w:rsidR="000D3ABE" w:rsidRDefault="00C77251" w:rsidP="003D0B26">
      <w:pPr>
        <w:spacing w:line="480" w:lineRule="auto"/>
        <w:ind w:firstLine="720"/>
      </w:pPr>
      <w:r w:rsidRPr="000D3ABE">
        <w:t xml:space="preserve">Regarding recommendations for improvement to the ORExt, </w:t>
      </w:r>
      <w:r w:rsidR="000D3ABE">
        <w:t xml:space="preserve">QAs and QTs frequently cited the need to reassess math assessments in their appropriate levels of difficulty and functional applicability. Several educators indicated </w:t>
      </w:r>
      <w:r w:rsidR="00A7439F">
        <w:t>math questions</w:t>
      </w:r>
      <w:r w:rsidR="000D3ABE">
        <w:t xml:space="preserve"> should be less difficult with more practically focused </w:t>
      </w:r>
      <w:r w:rsidR="00A7439F">
        <w:t xml:space="preserve">items. This recommendation is further </w:t>
      </w:r>
      <w:r w:rsidR="00D6122D">
        <w:t xml:space="preserve">emphasized </w:t>
      </w:r>
      <w:r w:rsidR="00A7439F">
        <w:t xml:space="preserve">by those who specifically stated that items need to focus on functional skills of students who are still struggling with assessment content that has already been reduced in academic complexity, depth, and breadth. </w:t>
      </w:r>
      <w:r w:rsidR="00B918D8">
        <w:t xml:space="preserve">This is a </w:t>
      </w:r>
      <w:r w:rsidR="008D5546">
        <w:t>concern that is consistent throu</w:t>
      </w:r>
      <w:r w:rsidR="00B918D8">
        <w:t xml:space="preserve">ghout AA-AAAS systems, but the ORExt is designed to assess academic content. While much academic content is indeed functional, a purely functional assessment would not meet the technical adequacy requirements of </w:t>
      </w:r>
      <w:proofErr w:type="gramStart"/>
      <w:r w:rsidR="00B918D8">
        <w:t>the Every</w:t>
      </w:r>
      <w:proofErr w:type="gramEnd"/>
      <w:r w:rsidR="00B918D8">
        <w:t xml:space="preserve"> Student Succeeds Act (ESSA, 2015).</w:t>
      </w:r>
      <w:r w:rsidR="005B0BB0">
        <w:t xml:space="preserve"> The item difficulty and person ability distributions for the mathematics assessment do not suggest that the assessments are too difficult, nor that they do not convey an appropriate range of functioning. This sentiment is likely a vestige of subjective experience that does not generalize to the wide, varied, population of SWSCD who participate in the ORExt.</w:t>
      </w:r>
    </w:p>
    <w:p w14:paraId="7D145A61" w14:textId="12809E60" w:rsidR="00DA2F95" w:rsidRDefault="00DA2F95" w:rsidP="00327434">
      <w:pPr>
        <w:spacing w:line="480" w:lineRule="auto"/>
        <w:ind w:firstLine="720"/>
      </w:pPr>
      <w:r>
        <w:t xml:space="preserve">Finally, QAs and QTs indicated that additional versions of the test should be developed </w:t>
      </w:r>
      <w:r w:rsidR="00F347CA">
        <w:t xml:space="preserve">to better match the ability level of those more severely impacted within the SWSCD population. </w:t>
      </w:r>
      <w:r w:rsidR="00F87E75">
        <w:t>Several educators have voiced that current items, despite the reduction in their complexity, depth and breadth, are not</w:t>
      </w:r>
      <w:r w:rsidR="00804DFB">
        <w:t xml:space="preserve"> applicable for their students and continue to pose challenges in accurately assessing their </w:t>
      </w:r>
      <w:r w:rsidR="00582730">
        <w:t xml:space="preserve">level of performance. </w:t>
      </w:r>
      <w:r w:rsidR="005B0BB0">
        <w:t xml:space="preserve">This concern has substantively been addressed with the development of the Oregon Observational Rating Assessment (ORora), which is an observational rating assessment for students whose ORExt testing is discontinued after they have met the minimum participation rule. In </w:t>
      </w:r>
      <w:r w:rsidR="005B0BB0">
        <w:lastRenderedPageBreak/>
        <w:t>addition, the range of item difficulties across each assessment conveys that the test is composed of a balanced number of low, medium, and high difficulty items that correspond well with the tested populations levels of ability.</w:t>
      </w:r>
    </w:p>
    <w:p w14:paraId="056AA04E" w14:textId="423B36EA" w:rsidR="00417784" w:rsidRPr="00C925C5" w:rsidRDefault="00417784" w:rsidP="00B51898">
      <w:pPr>
        <w:spacing w:line="480" w:lineRule="auto"/>
        <w:ind w:firstLine="720"/>
        <w:jc w:val="center"/>
        <w:rPr>
          <w:b/>
        </w:rPr>
      </w:pPr>
      <w:r w:rsidRPr="00C925C5">
        <w:rPr>
          <w:b/>
        </w:rPr>
        <w:t>Limitations</w:t>
      </w:r>
    </w:p>
    <w:p w14:paraId="62F850A6" w14:textId="1FFC4D40" w:rsidR="00417784" w:rsidRPr="002B671C" w:rsidRDefault="00417784" w:rsidP="00B51898">
      <w:pPr>
        <w:widowControl w:val="0"/>
        <w:autoSpaceDE w:val="0"/>
        <w:autoSpaceDN w:val="0"/>
        <w:adjustRightInd w:val="0"/>
        <w:spacing w:line="480" w:lineRule="auto"/>
      </w:pPr>
      <w:r w:rsidRPr="00C925C5">
        <w:tab/>
        <w:t>While the results from the 201</w:t>
      </w:r>
      <w:r w:rsidR="008D3538">
        <w:t>8</w:t>
      </w:r>
      <w:r w:rsidRPr="00C925C5">
        <w:t>-1</w:t>
      </w:r>
      <w:r w:rsidR="008D3538">
        <w:t>9</w:t>
      </w:r>
      <w:r w:rsidRPr="00C925C5">
        <w:t xml:space="preserve"> Oregon Extended Consequential Validity Survey offer insights into the consequences </w:t>
      </w:r>
      <w:r w:rsidR="001C34B9" w:rsidRPr="00C925C5">
        <w:t>of</w:t>
      </w:r>
      <w:r w:rsidRPr="00C925C5">
        <w:t xml:space="preserve"> </w:t>
      </w:r>
      <w:r w:rsidR="001C34B9" w:rsidRPr="00C925C5">
        <w:t>implementing</w:t>
      </w:r>
      <w:r w:rsidRPr="00C925C5">
        <w:t xml:space="preserve"> the </w:t>
      </w:r>
      <w:r w:rsidR="00B32A68">
        <w:t>ORExt</w:t>
      </w:r>
      <w:r w:rsidR="0097700B">
        <w:t xml:space="preserve"> and </w:t>
      </w:r>
      <w:r w:rsidR="005B0BB0">
        <w:t>point to actionable</w:t>
      </w:r>
      <w:r w:rsidR="0097700B">
        <w:t xml:space="preserve"> steps that can be taken to improve the assessment system,</w:t>
      </w:r>
      <w:r w:rsidRPr="00C925C5">
        <w:t xml:space="preserve"> there are limitations to this study that affect the inferences that </w:t>
      </w:r>
      <w:r w:rsidR="001C34B9" w:rsidRPr="00C925C5">
        <w:t xml:space="preserve">we can </w:t>
      </w:r>
      <w:r w:rsidR="005F5E51" w:rsidRPr="00C925C5">
        <w:t xml:space="preserve">appropriately </w:t>
      </w:r>
      <w:r w:rsidR="001C34B9" w:rsidRPr="00C925C5">
        <w:t>draw</w:t>
      </w:r>
      <w:r w:rsidRPr="0003332A">
        <w:t xml:space="preserve">. First, the current results, as in years past, </w:t>
      </w:r>
      <w:r w:rsidR="00F15597" w:rsidRPr="0003332A">
        <w:t xml:space="preserve">are </w:t>
      </w:r>
      <w:r w:rsidRPr="0003332A">
        <w:t xml:space="preserve">subject to nonresponse bias because we cannot predict how those QAs and QTs who did not respond to the survey may have affected the results. </w:t>
      </w:r>
      <w:r w:rsidR="00B52F32" w:rsidRPr="004C3A9C">
        <w:t>A second limitation involves the nature of the four-point scale relative to the number of responding QAs and QTs—</w:t>
      </w:r>
      <w:r w:rsidR="0097700B">
        <w:t>An</w:t>
      </w:r>
      <w:r w:rsidR="00B52F32" w:rsidRPr="004C3A9C">
        <w:t xml:space="preserve"> even-value (four-point)</w:t>
      </w:r>
      <w:r w:rsidR="0097700B">
        <w:t xml:space="preserve"> rating</w:t>
      </w:r>
      <w:r w:rsidR="00B52F32" w:rsidRPr="004C3A9C">
        <w:t xml:space="preserve"> scale used for the quantitative analyses did not allow respondents to remain neutral, a benefit given the survey was designed to “push” opinion positive/negative, but perhaps not refined enough to fully capture the full-range of respondents’ thinking around the ORExt assessment</w:t>
      </w:r>
      <w:r w:rsidR="00F45D23">
        <w:t xml:space="preserve">. </w:t>
      </w:r>
      <w:r w:rsidR="001C34B9" w:rsidRPr="00EE2DF8">
        <w:t xml:space="preserve">Overall, however, the consequential validity survey provided </w:t>
      </w:r>
      <w:r w:rsidR="00F15597" w:rsidRPr="00EE2DF8">
        <w:t xml:space="preserve">further </w:t>
      </w:r>
      <w:r w:rsidR="001C34B9" w:rsidRPr="00EE2DF8">
        <w:t>evidence</w:t>
      </w:r>
      <w:r w:rsidR="00F15597" w:rsidRPr="00EE2DF8">
        <w:t xml:space="preserve"> as to the impact </w:t>
      </w:r>
      <w:r w:rsidR="009351C0" w:rsidRPr="00EE2DF8">
        <w:t xml:space="preserve">of </w:t>
      </w:r>
      <w:r w:rsidR="00F15597" w:rsidRPr="00EE2DF8">
        <w:t>the ORExt and an additional basis</w:t>
      </w:r>
      <w:r w:rsidRPr="00EE2DF8">
        <w:t xml:space="preserve"> </w:t>
      </w:r>
      <w:r w:rsidR="00F15597" w:rsidRPr="00EE2DF8">
        <w:t>for comparing</w:t>
      </w:r>
      <w:r w:rsidRPr="00EE2DF8">
        <w:t xml:space="preserve"> the results </w:t>
      </w:r>
      <w:r w:rsidR="009351C0" w:rsidRPr="00EE2DF8">
        <w:t xml:space="preserve">to future years to define areas that need </w:t>
      </w:r>
      <w:r w:rsidR="00F15597" w:rsidRPr="00EE2DF8">
        <w:t>further improvement</w:t>
      </w:r>
      <w:r>
        <w:t>.</w:t>
      </w:r>
      <w:r w:rsidR="00F45D23">
        <w:br w:type="page"/>
      </w:r>
    </w:p>
    <w:p w14:paraId="7CADDAFC" w14:textId="77777777" w:rsidR="00574F78" w:rsidRPr="00574F78" w:rsidRDefault="00DD362B" w:rsidP="00574F78">
      <w:pPr>
        <w:pStyle w:val="EndNoteBibliographyTitle"/>
        <w:rPr>
          <w:noProof/>
        </w:rPr>
      </w:pPr>
      <w:r w:rsidRPr="003B7BCA">
        <w:lastRenderedPageBreak/>
        <w:fldChar w:fldCharType="begin"/>
      </w:r>
      <w:r w:rsidRPr="003B7BCA">
        <w:instrText xml:space="preserve"> ADDIN EN.REFLIST </w:instrText>
      </w:r>
      <w:r w:rsidRPr="003B7BCA">
        <w:fldChar w:fldCharType="separate"/>
      </w:r>
      <w:r w:rsidR="00574F78" w:rsidRPr="00574F78">
        <w:rPr>
          <w:noProof/>
        </w:rPr>
        <w:t>References</w:t>
      </w:r>
    </w:p>
    <w:p w14:paraId="6732D8C6" w14:textId="77777777" w:rsidR="00574F78" w:rsidRPr="00574F78" w:rsidRDefault="00574F78" w:rsidP="00574F78">
      <w:pPr>
        <w:pStyle w:val="EndNoteBibliographyTitle"/>
        <w:rPr>
          <w:noProof/>
        </w:rPr>
      </w:pPr>
    </w:p>
    <w:p w14:paraId="3A255CFC" w14:textId="77777777" w:rsidR="00574F78" w:rsidRPr="00574F78" w:rsidRDefault="00574F78" w:rsidP="009351C0">
      <w:pPr>
        <w:pStyle w:val="EndNoteBibliography"/>
        <w:spacing w:line="480" w:lineRule="auto"/>
        <w:ind w:left="720" w:hanging="720"/>
        <w:rPr>
          <w:noProof/>
        </w:rPr>
      </w:pPr>
      <w:r w:rsidRPr="00574F78">
        <w:rPr>
          <w:noProof/>
        </w:rPr>
        <w:t xml:space="preserve">AERA, NCME, &amp; APA. (1999). </w:t>
      </w:r>
      <w:r w:rsidRPr="00574F78">
        <w:rPr>
          <w:i/>
          <w:noProof/>
        </w:rPr>
        <w:t>The standards for educational and psychological testing</w:t>
      </w:r>
      <w:r w:rsidRPr="00574F78">
        <w:rPr>
          <w:noProof/>
        </w:rPr>
        <w:t>: American Educational Research Association.</w:t>
      </w:r>
    </w:p>
    <w:p w14:paraId="0EEBD010" w14:textId="059DB1BC" w:rsidR="00322FDE" w:rsidRDefault="00322FDE" w:rsidP="009351C0">
      <w:pPr>
        <w:pStyle w:val="EndNoteBibliography"/>
        <w:spacing w:line="480" w:lineRule="auto"/>
        <w:ind w:left="720" w:hanging="720"/>
        <w:rPr>
          <w:noProof/>
        </w:rPr>
      </w:pPr>
      <w:r>
        <w:rPr>
          <w:noProof/>
        </w:rPr>
        <w:t xml:space="preserve">Every Student Succeeds Act (2015). Public Law 114-95. Retrieved from </w:t>
      </w:r>
      <w:r w:rsidRPr="00322FDE">
        <w:rPr>
          <w:noProof/>
        </w:rPr>
        <w:t>https://www.congress.gov/bill/114th-congress/senate-bill/1177/text/pl</w:t>
      </w:r>
    </w:p>
    <w:p w14:paraId="090BA4A6" w14:textId="2C304CC8" w:rsidR="00574F78" w:rsidRPr="00574F78" w:rsidRDefault="00574F78" w:rsidP="009351C0">
      <w:pPr>
        <w:pStyle w:val="EndNoteBibliography"/>
        <w:spacing w:line="480" w:lineRule="auto"/>
        <w:ind w:left="720" w:hanging="720"/>
        <w:rPr>
          <w:noProof/>
        </w:rPr>
      </w:pPr>
      <w:r w:rsidRPr="00574F78">
        <w:rPr>
          <w:noProof/>
        </w:rPr>
        <w:t xml:space="preserve">Kane, M. T. (2001). Current concerns in validity theory. </w:t>
      </w:r>
      <w:r w:rsidRPr="00574F78">
        <w:rPr>
          <w:i/>
          <w:noProof/>
        </w:rPr>
        <w:t>Journal of Educational Measurement, 38</w:t>
      </w:r>
      <w:r w:rsidR="0044259D">
        <w:rPr>
          <w:noProof/>
        </w:rPr>
        <w:t>(4), 319-342.</w:t>
      </w:r>
    </w:p>
    <w:p w14:paraId="1984B936" w14:textId="1E900566" w:rsidR="00574F78" w:rsidRPr="00574F78" w:rsidRDefault="00574F78" w:rsidP="009351C0">
      <w:pPr>
        <w:pStyle w:val="EndNoteBibliography"/>
        <w:spacing w:line="480" w:lineRule="auto"/>
        <w:ind w:left="720" w:hanging="720"/>
        <w:rPr>
          <w:noProof/>
        </w:rPr>
      </w:pPr>
      <w:r w:rsidRPr="00574F78">
        <w:rPr>
          <w:noProof/>
        </w:rPr>
        <w:t xml:space="preserve">Kleinert, H. L., Kennedy, S., &amp; Kearns, J. F. (1999). The impact of alternate assessments: A statewide teacher survey. </w:t>
      </w:r>
      <w:r w:rsidRPr="00574F78">
        <w:rPr>
          <w:i/>
          <w:noProof/>
        </w:rPr>
        <w:t>The Journal of Special Education, 33</w:t>
      </w:r>
      <w:r w:rsidR="0044259D">
        <w:rPr>
          <w:noProof/>
        </w:rPr>
        <w:t>, 93-102.</w:t>
      </w:r>
    </w:p>
    <w:p w14:paraId="22D503E9" w14:textId="269AF339" w:rsidR="00574F78" w:rsidRPr="00574F78" w:rsidRDefault="00574F78" w:rsidP="009351C0">
      <w:pPr>
        <w:pStyle w:val="EndNoteBibliography"/>
        <w:spacing w:line="480" w:lineRule="auto"/>
        <w:ind w:left="720" w:hanging="720"/>
        <w:rPr>
          <w:noProof/>
        </w:rPr>
      </w:pPr>
      <w:r w:rsidRPr="00574F78">
        <w:rPr>
          <w:noProof/>
        </w:rPr>
        <w:t xml:space="preserve">Lane, S., Parke, C. S., &amp; Stone, C. A. (1998). A framework for evaluating the consequences: Programs of assessment. </w:t>
      </w:r>
      <w:r w:rsidRPr="00574F78">
        <w:rPr>
          <w:i/>
          <w:noProof/>
        </w:rPr>
        <w:t>Educational Measurement: Issues and Practice, 17</w:t>
      </w:r>
      <w:r w:rsidR="0044259D">
        <w:rPr>
          <w:noProof/>
        </w:rPr>
        <w:t>(2), 24-28.</w:t>
      </w:r>
    </w:p>
    <w:p w14:paraId="6A9AE624" w14:textId="77777777" w:rsidR="00574F78" w:rsidRPr="00574F78" w:rsidRDefault="00574F78" w:rsidP="009351C0">
      <w:pPr>
        <w:pStyle w:val="EndNoteBibliography"/>
        <w:spacing w:line="480" w:lineRule="auto"/>
        <w:ind w:left="720" w:hanging="720"/>
        <w:rPr>
          <w:noProof/>
        </w:rPr>
      </w:pPr>
      <w:r w:rsidRPr="00574F78">
        <w:rPr>
          <w:noProof/>
        </w:rPr>
        <w:t xml:space="preserve">Messick, S. (1989). </w:t>
      </w:r>
      <w:r w:rsidRPr="00574F78">
        <w:rPr>
          <w:i/>
          <w:noProof/>
        </w:rPr>
        <w:t>Validity of test interpretation and use</w:t>
      </w:r>
      <w:r w:rsidRPr="00574F78">
        <w:rPr>
          <w:noProof/>
        </w:rPr>
        <w:t xml:space="preserve">. Retrieved from Princeton, NJ: </w:t>
      </w:r>
    </w:p>
    <w:p w14:paraId="657E8B11" w14:textId="77777777" w:rsidR="00574F78" w:rsidRPr="00574F78" w:rsidRDefault="00574F78" w:rsidP="009351C0">
      <w:pPr>
        <w:pStyle w:val="EndNoteBibliography"/>
        <w:spacing w:line="480" w:lineRule="auto"/>
        <w:ind w:left="720" w:hanging="720"/>
        <w:rPr>
          <w:noProof/>
        </w:rPr>
      </w:pPr>
      <w:r w:rsidRPr="00574F78">
        <w:rPr>
          <w:noProof/>
        </w:rPr>
        <w:t xml:space="preserve">OESE. (2007). </w:t>
      </w:r>
      <w:r w:rsidRPr="00574F78">
        <w:rPr>
          <w:i/>
          <w:noProof/>
        </w:rPr>
        <w:t>Standards and assessments peer review guidance: Information and examples for meeting the requirements of the No Child Left Behind Act of 2001</w:t>
      </w:r>
      <w:r w:rsidRPr="00574F78">
        <w:rPr>
          <w:noProof/>
        </w:rPr>
        <w:t>. Washington, D.C.</w:t>
      </w:r>
    </w:p>
    <w:p w14:paraId="5D35A958" w14:textId="5EAA8E48" w:rsidR="00574F78" w:rsidRPr="00574F78" w:rsidRDefault="00574F78" w:rsidP="009351C0">
      <w:pPr>
        <w:pStyle w:val="EndNoteBibliography"/>
        <w:spacing w:line="480" w:lineRule="auto"/>
        <w:ind w:left="720" w:hanging="720"/>
        <w:rPr>
          <w:noProof/>
        </w:rPr>
      </w:pPr>
      <w:r w:rsidRPr="00574F78">
        <w:rPr>
          <w:noProof/>
        </w:rPr>
        <w:t xml:space="preserve">Oregon Department of Education. (2014). </w:t>
      </w:r>
      <w:r w:rsidRPr="00574F78">
        <w:rPr>
          <w:i/>
          <w:noProof/>
        </w:rPr>
        <w:t>2013-2014 technical report: Oregon's alternate assessment system</w:t>
      </w:r>
      <w:r w:rsidR="0044259D">
        <w:rPr>
          <w:noProof/>
        </w:rPr>
        <w:t>. Retrieved from Salem, OR:</w:t>
      </w:r>
    </w:p>
    <w:p w14:paraId="349BAFD9" w14:textId="77777777" w:rsidR="00574F78" w:rsidRPr="00574F78" w:rsidRDefault="00574F78" w:rsidP="009351C0">
      <w:pPr>
        <w:pStyle w:val="EndNoteBibliography"/>
        <w:spacing w:line="480" w:lineRule="auto"/>
        <w:ind w:left="720" w:hanging="720"/>
        <w:rPr>
          <w:noProof/>
        </w:rPr>
      </w:pPr>
      <w:r w:rsidRPr="00574F78">
        <w:rPr>
          <w:noProof/>
        </w:rPr>
        <w:t xml:space="preserve">Popham, W. J. (1997). Consequential Validity: Right Concern - Wrong Concept. </w:t>
      </w:r>
      <w:r w:rsidRPr="00574F78">
        <w:rPr>
          <w:i/>
          <w:noProof/>
        </w:rPr>
        <w:t>Educational Measurement: Issues and Practice, 16</w:t>
      </w:r>
      <w:r w:rsidRPr="00574F78">
        <w:rPr>
          <w:noProof/>
        </w:rPr>
        <w:t>(2), 9-13. doi:10.1111/j.1745-3992.1997.tb00586.x</w:t>
      </w:r>
    </w:p>
    <w:p w14:paraId="2A851F19" w14:textId="77777777" w:rsidR="00574F78" w:rsidRPr="00574F78" w:rsidRDefault="00574F78" w:rsidP="009351C0">
      <w:pPr>
        <w:pStyle w:val="EndNoteBibliography"/>
        <w:spacing w:line="480" w:lineRule="auto"/>
        <w:ind w:left="720" w:hanging="720"/>
        <w:rPr>
          <w:noProof/>
        </w:rPr>
      </w:pPr>
      <w:r w:rsidRPr="00574F78">
        <w:rPr>
          <w:noProof/>
        </w:rPr>
        <w:lastRenderedPageBreak/>
        <w:t xml:space="preserve">Roach, A. T., Elliott, S. N., &amp; Berndt, S. (2007). Teacher perceptions and the consequential validity of an alternate assessment for students with significant cognitive disabilities. </w:t>
      </w:r>
      <w:r w:rsidRPr="00574F78">
        <w:rPr>
          <w:i/>
          <w:noProof/>
        </w:rPr>
        <w:t>Journal of Disability Policy Studies, 18</w:t>
      </w:r>
      <w:r w:rsidRPr="00574F78">
        <w:rPr>
          <w:noProof/>
        </w:rPr>
        <w:t xml:space="preserve">(3), 168-175. </w:t>
      </w:r>
    </w:p>
    <w:p w14:paraId="5E61575B" w14:textId="77777777" w:rsidR="00574F78" w:rsidRPr="00574F78" w:rsidRDefault="00574F78" w:rsidP="009351C0">
      <w:pPr>
        <w:pStyle w:val="EndNoteBibliography"/>
        <w:spacing w:line="480" w:lineRule="auto"/>
        <w:ind w:left="720" w:hanging="720"/>
        <w:rPr>
          <w:noProof/>
        </w:rPr>
      </w:pPr>
      <w:r w:rsidRPr="00574F78">
        <w:rPr>
          <w:noProof/>
        </w:rPr>
        <w:t xml:space="preserve">Shepard, L. S. (1997). The centrality of test use and consequences for test validity. </w:t>
      </w:r>
      <w:r w:rsidRPr="00574F78">
        <w:rPr>
          <w:i/>
          <w:noProof/>
        </w:rPr>
        <w:t>Educational Measurement: Issues and Practice, 16</w:t>
      </w:r>
      <w:r w:rsidRPr="00574F78">
        <w:rPr>
          <w:noProof/>
        </w:rPr>
        <w:t xml:space="preserve">(2), 5-24. </w:t>
      </w:r>
    </w:p>
    <w:p w14:paraId="470ED3FD" w14:textId="77777777" w:rsidR="00574F78" w:rsidRPr="00574F78" w:rsidRDefault="00574F78" w:rsidP="009351C0">
      <w:pPr>
        <w:pStyle w:val="EndNoteBibliography"/>
        <w:spacing w:line="480" w:lineRule="auto"/>
        <w:ind w:left="720" w:hanging="720"/>
        <w:rPr>
          <w:noProof/>
        </w:rPr>
      </w:pPr>
      <w:r w:rsidRPr="00574F78">
        <w:rPr>
          <w:noProof/>
        </w:rPr>
        <w:t xml:space="preserve">Wilson, M. (2005). Construct maps </w:t>
      </w:r>
      <w:r w:rsidRPr="00574F78">
        <w:rPr>
          <w:i/>
          <w:noProof/>
        </w:rPr>
        <w:t>Constructing Measures: An Item Response Modeling Approach</w:t>
      </w:r>
      <w:r w:rsidRPr="00574F78">
        <w:rPr>
          <w:noProof/>
        </w:rPr>
        <w:t>. Mahwah, NJ: Lawrence Ehrlbaum Associates, Inc.</w:t>
      </w:r>
    </w:p>
    <w:p w14:paraId="3E155A9D" w14:textId="29F5B426" w:rsidR="00AF4092" w:rsidRPr="003B7BCA" w:rsidRDefault="00DD362B">
      <w:pPr>
        <w:rPr>
          <w:rFonts w:cs="Times New Roman"/>
        </w:rPr>
      </w:pPr>
      <w:r w:rsidRPr="003B7BCA">
        <w:rPr>
          <w:rFonts w:cs="Times New Roman"/>
        </w:rPr>
        <w:fldChar w:fldCharType="end"/>
      </w:r>
      <w:r w:rsidR="00D53CDE"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4"/>
        <w:gridCol w:w="3130"/>
        <w:gridCol w:w="3136"/>
      </w:tblGrid>
      <w:tr w:rsidR="00656143" w:rsidRPr="003B7BCA" w14:paraId="5AF09937" w14:textId="77777777" w:rsidTr="00656143">
        <w:tc>
          <w:tcPr>
            <w:tcW w:w="9576" w:type="dxa"/>
            <w:gridSpan w:val="3"/>
          </w:tcPr>
          <w:p w14:paraId="0079C7BF" w14:textId="77777777" w:rsidR="00656143" w:rsidRPr="003B7BCA" w:rsidRDefault="00656143" w:rsidP="00656143">
            <w:r w:rsidRPr="003B7BCA">
              <w:lastRenderedPageBreak/>
              <w:t>Table 2</w:t>
            </w:r>
          </w:p>
        </w:tc>
      </w:tr>
      <w:tr w:rsidR="00656143" w:rsidRPr="003B7BCA" w14:paraId="45220EA3" w14:textId="77777777" w:rsidTr="00656143">
        <w:tc>
          <w:tcPr>
            <w:tcW w:w="9576" w:type="dxa"/>
            <w:gridSpan w:val="3"/>
            <w:tcBorders>
              <w:bottom w:val="single" w:sz="8" w:space="0" w:color="auto"/>
            </w:tcBorders>
          </w:tcPr>
          <w:p w14:paraId="5B32C0FA" w14:textId="2C3B2EC3" w:rsidR="00656143" w:rsidRPr="003B7BCA" w:rsidRDefault="00656143" w:rsidP="00656143">
            <w:pPr>
              <w:spacing w:before="120" w:after="120"/>
              <w:rPr>
                <w:i/>
              </w:rPr>
            </w:pPr>
            <w:r w:rsidRPr="003B7BCA">
              <w:rPr>
                <w:i/>
              </w:rPr>
              <w:t>Age distribution for the 201</w:t>
            </w:r>
            <w:r w:rsidR="00BB084C">
              <w:rPr>
                <w:i/>
              </w:rPr>
              <w:t>8</w:t>
            </w:r>
            <w:r w:rsidRPr="003B7BCA">
              <w:rPr>
                <w:i/>
              </w:rPr>
              <w:t>-201</w:t>
            </w:r>
            <w:r w:rsidR="00BB084C">
              <w:rPr>
                <w:i/>
              </w:rPr>
              <w:t xml:space="preserve">9 </w:t>
            </w:r>
            <w:r w:rsidRPr="003B7BCA">
              <w:rPr>
                <w:i/>
              </w:rPr>
              <w:t>survey sample</w:t>
            </w:r>
          </w:p>
        </w:tc>
      </w:tr>
      <w:tr w:rsidR="00656143" w:rsidRPr="003B7BCA" w14:paraId="548130B5" w14:textId="77777777" w:rsidTr="00656143">
        <w:tc>
          <w:tcPr>
            <w:tcW w:w="3192" w:type="dxa"/>
            <w:tcBorders>
              <w:top w:val="single" w:sz="8" w:space="0" w:color="auto"/>
              <w:bottom w:val="single" w:sz="8" w:space="0" w:color="auto"/>
            </w:tcBorders>
          </w:tcPr>
          <w:p w14:paraId="4698588F" w14:textId="77777777" w:rsidR="00656143" w:rsidRPr="003B7BCA" w:rsidRDefault="00656143" w:rsidP="00656143">
            <w:pPr>
              <w:spacing w:before="120" w:after="120"/>
            </w:pPr>
            <w:r w:rsidRPr="003B7BCA">
              <w:t>Age Range (Years)</w:t>
            </w:r>
          </w:p>
        </w:tc>
        <w:tc>
          <w:tcPr>
            <w:tcW w:w="3192" w:type="dxa"/>
            <w:tcBorders>
              <w:top w:val="single" w:sz="8" w:space="0" w:color="auto"/>
              <w:bottom w:val="single" w:sz="8" w:space="0" w:color="auto"/>
            </w:tcBorders>
          </w:tcPr>
          <w:p w14:paraId="5D8A3B84" w14:textId="30DCD433" w:rsidR="00656143" w:rsidRPr="003B7BCA" w:rsidRDefault="00656143" w:rsidP="00656143">
            <w:pPr>
              <w:spacing w:before="120" w:after="120"/>
              <w:jc w:val="center"/>
            </w:pPr>
            <w:r w:rsidRPr="003B7BCA">
              <w:rPr>
                <w:i/>
              </w:rPr>
              <w:t>n</w:t>
            </w:r>
          </w:p>
        </w:tc>
        <w:tc>
          <w:tcPr>
            <w:tcW w:w="3192" w:type="dxa"/>
            <w:tcBorders>
              <w:top w:val="single" w:sz="8" w:space="0" w:color="auto"/>
              <w:bottom w:val="single" w:sz="8" w:space="0" w:color="auto"/>
            </w:tcBorders>
          </w:tcPr>
          <w:p w14:paraId="1B1A216E" w14:textId="77777777" w:rsidR="00656143" w:rsidRPr="003B7BCA" w:rsidRDefault="00656143" w:rsidP="00656143">
            <w:pPr>
              <w:spacing w:before="120" w:after="120"/>
              <w:jc w:val="center"/>
              <w:rPr>
                <w:i/>
              </w:rPr>
            </w:pPr>
            <w:r w:rsidRPr="003B7BCA">
              <w:rPr>
                <w:i/>
              </w:rPr>
              <w:t>%</w:t>
            </w:r>
          </w:p>
        </w:tc>
      </w:tr>
      <w:tr w:rsidR="00656143" w:rsidRPr="003B7BCA" w14:paraId="568059FC" w14:textId="77777777" w:rsidTr="00656143">
        <w:tc>
          <w:tcPr>
            <w:tcW w:w="3192" w:type="dxa"/>
            <w:tcBorders>
              <w:top w:val="single" w:sz="8" w:space="0" w:color="auto"/>
            </w:tcBorders>
          </w:tcPr>
          <w:p w14:paraId="7B366EFC" w14:textId="77777777" w:rsidR="00656143" w:rsidRPr="003B7BCA" w:rsidRDefault="00656143" w:rsidP="00656143">
            <w:pPr>
              <w:spacing w:before="120" w:after="120"/>
            </w:pPr>
            <w:r w:rsidRPr="003B7BCA">
              <w:t>20-25</w:t>
            </w:r>
          </w:p>
        </w:tc>
        <w:tc>
          <w:tcPr>
            <w:tcW w:w="3192" w:type="dxa"/>
            <w:tcBorders>
              <w:top w:val="single" w:sz="8" w:space="0" w:color="auto"/>
            </w:tcBorders>
            <w:vAlign w:val="bottom"/>
          </w:tcPr>
          <w:p w14:paraId="724CB494" w14:textId="182D0ACA" w:rsidR="00656143" w:rsidRPr="003B7BCA" w:rsidRDefault="003D591C" w:rsidP="00F766CC">
            <w:pPr>
              <w:tabs>
                <w:tab w:val="decimal" w:pos="1578"/>
              </w:tabs>
              <w:spacing w:before="120" w:after="120"/>
            </w:pPr>
            <w:r>
              <w:rPr>
                <w:rFonts w:eastAsia="Times New Roman" w:cs="Times New Roman"/>
                <w:color w:val="000000"/>
              </w:rPr>
              <w:t>2</w:t>
            </w:r>
          </w:p>
        </w:tc>
        <w:tc>
          <w:tcPr>
            <w:tcW w:w="3192" w:type="dxa"/>
            <w:tcBorders>
              <w:top w:val="single" w:sz="8" w:space="0" w:color="auto"/>
            </w:tcBorders>
            <w:vAlign w:val="bottom"/>
          </w:tcPr>
          <w:p w14:paraId="03B87580" w14:textId="5DAB1402" w:rsidR="00656143" w:rsidRPr="003B7BCA" w:rsidRDefault="00A844EA" w:rsidP="00656143">
            <w:pPr>
              <w:tabs>
                <w:tab w:val="decimal" w:pos="1536"/>
              </w:tabs>
              <w:spacing w:before="120" w:after="120"/>
            </w:pPr>
            <w:r>
              <w:rPr>
                <w:rFonts w:eastAsia="Times New Roman" w:cs="Times New Roman"/>
                <w:color w:val="000000"/>
              </w:rPr>
              <w:t>1</w:t>
            </w:r>
            <w:r w:rsidR="002013DD">
              <w:rPr>
                <w:rFonts w:eastAsia="Times New Roman" w:cs="Times New Roman"/>
                <w:color w:val="000000"/>
              </w:rPr>
              <w:t>.</w:t>
            </w:r>
            <w:r w:rsidR="00B53B1C">
              <w:rPr>
                <w:rFonts w:eastAsia="Times New Roman" w:cs="Times New Roman"/>
                <w:color w:val="000000"/>
              </w:rPr>
              <w:t>1</w:t>
            </w:r>
          </w:p>
        </w:tc>
      </w:tr>
      <w:tr w:rsidR="00656143" w:rsidRPr="003B7BCA" w14:paraId="17D2BE86" w14:textId="77777777" w:rsidTr="00656143">
        <w:tc>
          <w:tcPr>
            <w:tcW w:w="3192" w:type="dxa"/>
          </w:tcPr>
          <w:p w14:paraId="1508F204" w14:textId="77777777" w:rsidR="00656143" w:rsidRPr="003B7BCA" w:rsidRDefault="00656143" w:rsidP="00656143">
            <w:pPr>
              <w:spacing w:before="120" w:after="120"/>
            </w:pPr>
            <w:r w:rsidRPr="003B7BCA">
              <w:t>26-30</w:t>
            </w:r>
          </w:p>
        </w:tc>
        <w:tc>
          <w:tcPr>
            <w:tcW w:w="3192" w:type="dxa"/>
            <w:vAlign w:val="bottom"/>
          </w:tcPr>
          <w:p w14:paraId="13393249" w14:textId="7548D315" w:rsidR="00656143" w:rsidRPr="003B7BCA" w:rsidRDefault="002013DD" w:rsidP="00F766CC">
            <w:pPr>
              <w:tabs>
                <w:tab w:val="decimal" w:pos="1578"/>
              </w:tabs>
              <w:spacing w:before="120" w:after="120"/>
            </w:pPr>
            <w:r>
              <w:rPr>
                <w:rFonts w:eastAsia="Times New Roman" w:cs="Times New Roman"/>
                <w:color w:val="000000"/>
              </w:rPr>
              <w:t>1</w:t>
            </w:r>
            <w:r w:rsidR="003D591C">
              <w:rPr>
                <w:rFonts w:eastAsia="Times New Roman" w:cs="Times New Roman"/>
                <w:color w:val="000000"/>
              </w:rPr>
              <w:t>7</w:t>
            </w:r>
          </w:p>
        </w:tc>
        <w:tc>
          <w:tcPr>
            <w:tcW w:w="3192" w:type="dxa"/>
            <w:vAlign w:val="bottom"/>
          </w:tcPr>
          <w:p w14:paraId="144AE227" w14:textId="0924E12E" w:rsidR="00656143" w:rsidRPr="003B7BCA" w:rsidRDefault="00B53B1C" w:rsidP="00656143">
            <w:pPr>
              <w:tabs>
                <w:tab w:val="decimal" w:pos="1536"/>
              </w:tabs>
              <w:spacing w:before="120" w:after="120"/>
            </w:pPr>
            <w:r>
              <w:rPr>
                <w:rFonts w:eastAsia="Times New Roman" w:cs="Times New Roman"/>
                <w:color w:val="000000"/>
              </w:rPr>
              <w:t>9</w:t>
            </w:r>
            <w:r w:rsidR="004159FA">
              <w:rPr>
                <w:rFonts w:eastAsia="Times New Roman" w:cs="Times New Roman"/>
                <w:color w:val="000000"/>
              </w:rPr>
              <w:t>.0</w:t>
            </w:r>
          </w:p>
        </w:tc>
      </w:tr>
      <w:tr w:rsidR="00656143" w:rsidRPr="003B7BCA" w14:paraId="6BAA3BE9" w14:textId="77777777" w:rsidTr="00656143">
        <w:tc>
          <w:tcPr>
            <w:tcW w:w="3192" w:type="dxa"/>
          </w:tcPr>
          <w:p w14:paraId="0AE3D1AE" w14:textId="77777777" w:rsidR="00656143" w:rsidRPr="003B7BCA" w:rsidRDefault="00656143" w:rsidP="00656143">
            <w:pPr>
              <w:spacing w:before="120" w:after="120"/>
            </w:pPr>
            <w:r w:rsidRPr="003B7BCA">
              <w:t>31-35</w:t>
            </w:r>
          </w:p>
        </w:tc>
        <w:tc>
          <w:tcPr>
            <w:tcW w:w="3192" w:type="dxa"/>
            <w:vAlign w:val="bottom"/>
          </w:tcPr>
          <w:p w14:paraId="60EFC020" w14:textId="0EC2BFCB" w:rsidR="00656143" w:rsidRPr="003B7BCA" w:rsidRDefault="002013DD" w:rsidP="00F766CC">
            <w:pPr>
              <w:tabs>
                <w:tab w:val="decimal" w:pos="1578"/>
              </w:tabs>
              <w:spacing w:before="120" w:after="120"/>
            </w:pPr>
            <w:r>
              <w:rPr>
                <w:rFonts w:eastAsia="Times New Roman" w:cs="Times New Roman"/>
                <w:color w:val="000000"/>
              </w:rPr>
              <w:t>1</w:t>
            </w:r>
            <w:r w:rsidR="003D591C">
              <w:rPr>
                <w:rFonts w:eastAsia="Times New Roman" w:cs="Times New Roman"/>
                <w:color w:val="000000"/>
              </w:rPr>
              <w:t>4</w:t>
            </w:r>
          </w:p>
        </w:tc>
        <w:tc>
          <w:tcPr>
            <w:tcW w:w="3192" w:type="dxa"/>
            <w:vAlign w:val="bottom"/>
          </w:tcPr>
          <w:p w14:paraId="68AA6324" w14:textId="506EB40B" w:rsidR="00656143" w:rsidRPr="003B7BCA" w:rsidRDefault="00B53B1C" w:rsidP="00656143">
            <w:pPr>
              <w:tabs>
                <w:tab w:val="decimal" w:pos="1536"/>
              </w:tabs>
              <w:spacing w:before="120" w:after="120"/>
            </w:pPr>
            <w:r>
              <w:rPr>
                <w:rFonts w:eastAsia="Times New Roman" w:cs="Times New Roman"/>
                <w:color w:val="000000"/>
              </w:rPr>
              <w:t>7.4</w:t>
            </w:r>
          </w:p>
        </w:tc>
      </w:tr>
      <w:tr w:rsidR="00656143" w:rsidRPr="003B7BCA" w14:paraId="2BAEE1BA" w14:textId="77777777" w:rsidTr="00656143">
        <w:tc>
          <w:tcPr>
            <w:tcW w:w="3192" w:type="dxa"/>
          </w:tcPr>
          <w:p w14:paraId="7CC93FB2" w14:textId="77777777" w:rsidR="00656143" w:rsidRPr="003B7BCA" w:rsidRDefault="00656143" w:rsidP="00656143">
            <w:pPr>
              <w:spacing w:before="120" w:after="120"/>
            </w:pPr>
            <w:r w:rsidRPr="003B7BCA">
              <w:t>36-40</w:t>
            </w:r>
          </w:p>
        </w:tc>
        <w:tc>
          <w:tcPr>
            <w:tcW w:w="3192" w:type="dxa"/>
            <w:vAlign w:val="bottom"/>
          </w:tcPr>
          <w:p w14:paraId="4F9D78CA" w14:textId="7E930C2C" w:rsidR="00656143" w:rsidRPr="003B7BCA" w:rsidRDefault="00BB084C" w:rsidP="00F766CC">
            <w:pPr>
              <w:tabs>
                <w:tab w:val="decimal" w:pos="1578"/>
              </w:tabs>
              <w:spacing w:before="120" w:after="120"/>
            </w:pPr>
            <w:r>
              <w:rPr>
                <w:rFonts w:eastAsia="Times New Roman" w:cs="Times New Roman"/>
                <w:color w:val="000000"/>
              </w:rPr>
              <w:t>23</w:t>
            </w:r>
          </w:p>
        </w:tc>
        <w:tc>
          <w:tcPr>
            <w:tcW w:w="3192" w:type="dxa"/>
            <w:vAlign w:val="bottom"/>
          </w:tcPr>
          <w:p w14:paraId="672FB13A" w14:textId="47CEFB33" w:rsidR="00656143" w:rsidRPr="003B7BCA" w:rsidRDefault="00A844EA" w:rsidP="00656143">
            <w:pPr>
              <w:tabs>
                <w:tab w:val="decimal" w:pos="1536"/>
              </w:tabs>
              <w:spacing w:before="120" w:after="120"/>
            </w:pPr>
            <w:r>
              <w:rPr>
                <w:rFonts w:eastAsia="Times New Roman" w:cs="Times New Roman"/>
                <w:color w:val="000000"/>
              </w:rPr>
              <w:t>1</w:t>
            </w:r>
            <w:r w:rsidR="00B53B1C">
              <w:rPr>
                <w:rFonts w:eastAsia="Times New Roman" w:cs="Times New Roman"/>
                <w:color w:val="000000"/>
              </w:rPr>
              <w:t>2</w:t>
            </w:r>
            <w:r w:rsidR="002013DD">
              <w:rPr>
                <w:rFonts w:eastAsia="Times New Roman" w:cs="Times New Roman"/>
                <w:color w:val="000000"/>
              </w:rPr>
              <w:t>.2</w:t>
            </w:r>
          </w:p>
        </w:tc>
      </w:tr>
      <w:tr w:rsidR="00656143" w:rsidRPr="003B7BCA" w14:paraId="50DF8842" w14:textId="77777777" w:rsidTr="00656143">
        <w:tc>
          <w:tcPr>
            <w:tcW w:w="3192" w:type="dxa"/>
          </w:tcPr>
          <w:p w14:paraId="6F16665F" w14:textId="77777777" w:rsidR="00656143" w:rsidRPr="003B7BCA" w:rsidRDefault="00656143" w:rsidP="00656143">
            <w:pPr>
              <w:spacing w:before="120" w:after="120"/>
            </w:pPr>
            <w:r w:rsidRPr="003B7BCA">
              <w:t>41-45</w:t>
            </w:r>
          </w:p>
        </w:tc>
        <w:tc>
          <w:tcPr>
            <w:tcW w:w="3192" w:type="dxa"/>
            <w:vAlign w:val="bottom"/>
          </w:tcPr>
          <w:p w14:paraId="4962477E" w14:textId="3EA67D7E" w:rsidR="00656143" w:rsidRPr="003B7BCA" w:rsidRDefault="003D591C" w:rsidP="00F766CC">
            <w:pPr>
              <w:tabs>
                <w:tab w:val="decimal" w:pos="1578"/>
              </w:tabs>
              <w:spacing w:before="120" w:after="120"/>
            </w:pPr>
            <w:r>
              <w:rPr>
                <w:rFonts w:eastAsia="Times New Roman" w:cs="Times New Roman"/>
                <w:color w:val="000000"/>
              </w:rPr>
              <w:t>41</w:t>
            </w:r>
          </w:p>
        </w:tc>
        <w:tc>
          <w:tcPr>
            <w:tcW w:w="3192" w:type="dxa"/>
            <w:vAlign w:val="bottom"/>
          </w:tcPr>
          <w:p w14:paraId="5A5D85B6" w14:textId="642000DA" w:rsidR="00656143" w:rsidRPr="003B7BCA" w:rsidRDefault="00B53B1C" w:rsidP="00656143">
            <w:pPr>
              <w:tabs>
                <w:tab w:val="decimal" w:pos="1536"/>
              </w:tabs>
              <w:spacing w:before="120" w:after="120"/>
            </w:pPr>
            <w:r>
              <w:rPr>
                <w:rFonts w:eastAsia="Times New Roman" w:cs="Times New Roman"/>
                <w:color w:val="000000"/>
              </w:rPr>
              <w:t>21</w:t>
            </w:r>
            <w:r w:rsidR="002013DD">
              <w:rPr>
                <w:rFonts w:eastAsia="Times New Roman" w:cs="Times New Roman"/>
                <w:color w:val="000000"/>
              </w:rPr>
              <w:t>.</w:t>
            </w:r>
            <w:r>
              <w:rPr>
                <w:rFonts w:eastAsia="Times New Roman" w:cs="Times New Roman"/>
                <w:color w:val="000000"/>
              </w:rPr>
              <w:t>3</w:t>
            </w:r>
          </w:p>
        </w:tc>
      </w:tr>
      <w:tr w:rsidR="00656143" w:rsidRPr="003B7BCA" w14:paraId="2BB7BD7A" w14:textId="77777777" w:rsidTr="00656143">
        <w:tc>
          <w:tcPr>
            <w:tcW w:w="3192" w:type="dxa"/>
          </w:tcPr>
          <w:p w14:paraId="2A7B3075" w14:textId="77777777" w:rsidR="00656143" w:rsidRPr="003B7BCA" w:rsidRDefault="00656143" w:rsidP="00656143">
            <w:pPr>
              <w:spacing w:before="120" w:after="120"/>
            </w:pPr>
            <w:r w:rsidRPr="003B7BCA">
              <w:t>46-50</w:t>
            </w:r>
          </w:p>
        </w:tc>
        <w:tc>
          <w:tcPr>
            <w:tcW w:w="3192" w:type="dxa"/>
            <w:vAlign w:val="bottom"/>
          </w:tcPr>
          <w:p w14:paraId="52FEC23C" w14:textId="08D61391" w:rsidR="00656143" w:rsidRPr="003B7BCA" w:rsidRDefault="003D591C" w:rsidP="00F766CC">
            <w:pPr>
              <w:tabs>
                <w:tab w:val="decimal" w:pos="1578"/>
              </w:tabs>
              <w:spacing w:before="120" w:after="120"/>
            </w:pPr>
            <w:r>
              <w:rPr>
                <w:rFonts w:eastAsia="Times New Roman" w:cs="Times New Roman"/>
                <w:color w:val="000000"/>
              </w:rPr>
              <w:t>24</w:t>
            </w:r>
          </w:p>
        </w:tc>
        <w:tc>
          <w:tcPr>
            <w:tcW w:w="3192" w:type="dxa"/>
            <w:vAlign w:val="bottom"/>
          </w:tcPr>
          <w:p w14:paraId="126E4773" w14:textId="7C3B7BFF" w:rsidR="00656143" w:rsidRPr="003B7BCA" w:rsidRDefault="00B53B1C" w:rsidP="00656143">
            <w:pPr>
              <w:tabs>
                <w:tab w:val="decimal" w:pos="1536"/>
              </w:tabs>
              <w:spacing w:before="120" w:after="120"/>
            </w:pPr>
            <w:r>
              <w:rPr>
                <w:rFonts w:eastAsia="Times New Roman" w:cs="Times New Roman"/>
                <w:color w:val="000000"/>
              </w:rPr>
              <w:t>12.8</w:t>
            </w:r>
          </w:p>
        </w:tc>
      </w:tr>
      <w:tr w:rsidR="00656143" w:rsidRPr="003B7BCA" w14:paraId="5AE7B1A1" w14:textId="77777777" w:rsidTr="00656143">
        <w:tc>
          <w:tcPr>
            <w:tcW w:w="3192" w:type="dxa"/>
          </w:tcPr>
          <w:p w14:paraId="42ECBBB9" w14:textId="72AE3957" w:rsidR="00656143" w:rsidRPr="003B7BCA" w:rsidRDefault="00656143" w:rsidP="00656143">
            <w:pPr>
              <w:spacing w:before="120" w:after="120"/>
            </w:pPr>
            <w:r w:rsidRPr="003B7BCA">
              <w:t>51</w:t>
            </w:r>
            <w:r w:rsidR="00EC774D">
              <w:t>+</w:t>
            </w:r>
          </w:p>
        </w:tc>
        <w:tc>
          <w:tcPr>
            <w:tcW w:w="3192" w:type="dxa"/>
            <w:vAlign w:val="bottom"/>
          </w:tcPr>
          <w:p w14:paraId="0EEA9036" w14:textId="3A2FFFEC" w:rsidR="00656143" w:rsidRPr="003B7BCA" w:rsidRDefault="003D591C" w:rsidP="00F766CC">
            <w:pPr>
              <w:tabs>
                <w:tab w:val="decimal" w:pos="1578"/>
              </w:tabs>
              <w:spacing w:before="120" w:after="120"/>
            </w:pPr>
            <w:r>
              <w:rPr>
                <w:rFonts w:eastAsia="Times New Roman" w:cs="Times New Roman"/>
                <w:color w:val="000000"/>
              </w:rPr>
              <w:t>69</w:t>
            </w:r>
          </w:p>
        </w:tc>
        <w:tc>
          <w:tcPr>
            <w:tcW w:w="3192" w:type="dxa"/>
            <w:vAlign w:val="bottom"/>
          </w:tcPr>
          <w:p w14:paraId="57AB1F96" w14:textId="4D2C3EDC" w:rsidR="00656143" w:rsidRPr="003B7BCA" w:rsidRDefault="00B53B1C" w:rsidP="004159FA">
            <w:pPr>
              <w:tabs>
                <w:tab w:val="decimal" w:pos="1536"/>
              </w:tabs>
              <w:spacing w:before="120" w:after="120"/>
            </w:pPr>
            <w:r>
              <w:rPr>
                <w:rFonts w:eastAsia="Times New Roman" w:cs="Times New Roman"/>
                <w:color w:val="000000"/>
              </w:rPr>
              <w:t>36.2</w:t>
            </w:r>
          </w:p>
        </w:tc>
      </w:tr>
      <w:tr w:rsidR="00656143" w:rsidRPr="003B7BCA" w14:paraId="4DB9C615" w14:textId="77777777" w:rsidTr="00656143">
        <w:tc>
          <w:tcPr>
            <w:tcW w:w="3192" w:type="dxa"/>
            <w:tcBorders>
              <w:bottom w:val="single" w:sz="8" w:space="0" w:color="auto"/>
            </w:tcBorders>
          </w:tcPr>
          <w:p w14:paraId="4E221645" w14:textId="77777777" w:rsidR="00656143" w:rsidRPr="003B7BCA" w:rsidRDefault="00656143" w:rsidP="00656143">
            <w:pPr>
              <w:spacing w:before="120" w:after="120"/>
            </w:pPr>
            <w:r w:rsidRPr="003B7BCA">
              <w:t>Total</w:t>
            </w:r>
          </w:p>
        </w:tc>
        <w:tc>
          <w:tcPr>
            <w:tcW w:w="3192" w:type="dxa"/>
            <w:tcBorders>
              <w:bottom w:val="single" w:sz="8" w:space="0" w:color="auto"/>
            </w:tcBorders>
          </w:tcPr>
          <w:p w14:paraId="0CBD3A86" w14:textId="00E04C51" w:rsidR="00656143" w:rsidRPr="003B7BCA" w:rsidRDefault="002013DD" w:rsidP="00F766CC">
            <w:pPr>
              <w:tabs>
                <w:tab w:val="decimal" w:pos="1578"/>
              </w:tabs>
              <w:spacing w:before="120" w:after="120"/>
            </w:pPr>
            <w:r>
              <w:t>1</w:t>
            </w:r>
            <w:r w:rsidR="003D591C">
              <w:t>91</w:t>
            </w:r>
          </w:p>
        </w:tc>
        <w:tc>
          <w:tcPr>
            <w:tcW w:w="3192" w:type="dxa"/>
            <w:tcBorders>
              <w:bottom w:val="single" w:sz="8" w:space="0" w:color="auto"/>
            </w:tcBorders>
          </w:tcPr>
          <w:p w14:paraId="527AD7E8" w14:textId="727C1DA7" w:rsidR="00656143" w:rsidRPr="003B7BCA" w:rsidRDefault="00656143" w:rsidP="00D47730">
            <w:pPr>
              <w:tabs>
                <w:tab w:val="decimal" w:pos="1536"/>
              </w:tabs>
              <w:spacing w:before="120" w:after="120"/>
              <w:ind w:firstLine="1236"/>
            </w:pPr>
            <w:r w:rsidRPr="003B7BCA">
              <w:t>100</w:t>
            </w:r>
          </w:p>
        </w:tc>
      </w:tr>
    </w:tbl>
    <w:p w14:paraId="44321524" w14:textId="53FE6E32" w:rsidR="003B4D07" w:rsidRPr="003B7BCA" w:rsidRDefault="003B4D07">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124"/>
        <w:gridCol w:w="3133"/>
      </w:tblGrid>
      <w:tr w:rsidR="003B4D07" w:rsidRPr="003B7BCA" w14:paraId="6CEB4286" w14:textId="77777777" w:rsidTr="00935724">
        <w:tc>
          <w:tcPr>
            <w:tcW w:w="9576" w:type="dxa"/>
            <w:gridSpan w:val="3"/>
          </w:tcPr>
          <w:p w14:paraId="7B4A4FFB" w14:textId="77777777" w:rsidR="003B4D07" w:rsidRPr="003B7BCA" w:rsidRDefault="003B4D07" w:rsidP="003B4D07">
            <w:r w:rsidRPr="003B7BCA">
              <w:t>Table 3</w:t>
            </w:r>
          </w:p>
        </w:tc>
      </w:tr>
      <w:tr w:rsidR="003B4D07" w:rsidRPr="003B7BCA" w14:paraId="4CEFFBA6" w14:textId="77777777" w:rsidTr="00935724">
        <w:tc>
          <w:tcPr>
            <w:tcW w:w="9576" w:type="dxa"/>
            <w:gridSpan w:val="3"/>
            <w:tcBorders>
              <w:bottom w:val="single" w:sz="8" w:space="0" w:color="auto"/>
            </w:tcBorders>
          </w:tcPr>
          <w:p w14:paraId="1863EFB7" w14:textId="7B320767" w:rsidR="003B4D07" w:rsidRPr="003B7BCA" w:rsidRDefault="003B4D07" w:rsidP="00935724">
            <w:pPr>
              <w:spacing w:before="120" w:after="120"/>
              <w:rPr>
                <w:i/>
              </w:rPr>
            </w:pPr>
            <w:r w:rsidRPr="003B7BCA">
              <w:rPr>
                <w:i/>
              </w:rPr>
              <w:t>Educational experience for the 201</w:t>
            </w:r>
            <w:r w:rsidR="00BB084C">
              <w:rPr>
                <w:i/>
              </w:rPr>
              <w:t>8</w:t>
            </w:r>
            <w:r w:rsidRPr="003B7BCA">
              <w:rPr>
                <w:i/>
              </w:rPr>
              <w:t>-201</w:t>
            </w:r>
            <w:r w:rsidR="00BB084C">
              <w:rPr>
                <w:i/>
              </w:rPr>
              <w:t>9</w:t>
            </w:r>
            <w:r w:rsidRPr="003B7BCA">
              <w:rPr>
                <w:i/>
              </w:rPr>
              <w:t xml:space="preserve"> survey sample</w:t>
            </w:r>
          </w:p>
        </w:tc>
      </w:tr>
      <w:tr w:rsidR="003B4D07" w:rsidRPr="003B7BCA" w14:paraId="4CFBD285" w14:textId="77777777" w:rsidTr="00935724">
        <w:tc>
          <w:tcPr>
            <w:tcW w:w="3192" w:type="dxa"/>
            <w:tcBorders>
              <w:top w:val="single" w:sz="8" w:space="0" w:color="auto"/>
              <w:bottom w:val="single" w:sz="8" w:space="0" w:color="auto"/>
            </w:tcBorders>
          </w:tcPr>
          <w:p w14:paraId="2D95E3AD" w14:textId="77777777" w:rsidR="003B4D07" w:rsidRPr="003B7BCA" w:rsidRDefault="003B4D07" w:rsidP="00935724">
            <w:pPr>
              <w:spacing w:before="120" w:after="120"/>
            </w:pPr>
            <w:r w:rsidRPr="003B7BCA">
              <w:t>Years Experience</w:t>
            </w:r>
          </w:p>
        </w:tc>
        <w:tc>
          <w:tcPr>
            <w:tcW w:w="3192" w:type="dxa"/>
            <w:tcBorders>
              <w:top w:val="single" w:sz="8" w:space="0" w:color="auto"/>
              <w:bottom w:val="single" w:sz="8" w:space="0" w:color="auto"/>
            </w:tcBorders>
          </w:tcPr>
          <w:p w14:paraId="6A4C2B8D" w14:textId="603E736C"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072FB9E9" w14:textId="77777777" w:rsidR="003B4D07" w:rsidRPr="003B7BCA" w:rsidRDefault="003B4D07" w:rsidP="00935724">
            <w:pPr>
              <w:spacing w:before="120" w:after="120"/>
              <w:jc w:val="center"/>
              <w:rPr>
                <w:i/>
              </w:rPr>
            </w:pPr>
            <w:r w:rsidRPr="003B7BCA">
              <w:rPr>
                <w:i/>
              </w:rPr>
              <w:t>%</w:t>
            </w:r>
          </w:p>
        </w:tc>
      </w:tr>
      <w:tr w:rsidR="003B4D07" w:rsidRPr="003B7BCA" w14:paraId="723948EC" w14:textId="77777777" w:rsidTr="00935724">
        <w:tc>
          <w:tcPr>
            <w:tcW w:w="3192" w:type="dxa"/>
            <w:tcBorders>
              <w:top w:val="single" w:sz="8" w:space="0" w:color="auto"/>
            </w:tcBorders>
          </w:tcPr>
          <w:p w14:paraId="73C81EF7" w14:textId="77777777" w:rsidR="003B4D07" w:rsidRPr="003B7BCA" w:rsidRDefault="003B4D07" w:rsidP="00D47730">
            <w:pPr>
              <w:spacing w:before="120" w:after="120"/>
              <w:ind w:firstLine="252"/>
            </w:pPr>
            <w:r w:rsidRPr="003B7BCA">
              <w:t>0-3</w:t>
            </w:r>
          </w:p>
        </w:tc>
        <w:tc>
          <w:tcPr>
            <w:tcW w:w="3192" w:type="dxa"/>
            <w:tcBorders>
              <w:top w:val="single" w:sz="8" w:space="0" w:color="auto"/>
            </w:tcBorders>
            <w:vAlign w:val="bottom"/>
          </w:tcPr>
          <w:p w14:paraId="5F58E416" w14:textId="095B94E8" w:rsidR="003B4D07" w:rsidRPr="003B7BCA" w:rsidRDefault="00801836" w:rsidP="00935724">
            <w:pPr>
              <w:tabs>
                <w:tab w:val="decimal" w:pos="1578"/>
              </w:tabs>
              <w:spacing w:before="120" w:after="120"/>
            </w:pPr>
            <w:r>
              <w:rPr>
                <w:rFonts w:eastAsia="Times New Roman" w:cs="Times New Roman"/>
                <w:color w:val="000000"/>
              </w:rPr>
              <w:t>1</w:t>
            </w:r>
            <w:r w:rsidR="00BB084C">
              <w:rPr>
                <w:rFonts w:eastAsia="Times New Roman" w:cs="Times New Roman"/>
                <w:color w:val="000000"/>
              </w:rPr>
              <w:t>0</w:t>
            </w:r>
          </w:p>
        </w:tc>
        <w:tc>
          <w:tcPr>
            <w:tcW w:w="3192" w:type="dxa"/>
            <w:tcBorders>
              <w:top w:val="single" w:sz="8" w:space="0" w:color="auto"/>
            </w:tcBorders>
            <w:vAlign w:val="bottom"/>
          </w:tcPr>
          <w:p w14:paraId="703311A8" w14:textId="3E29D1BC" w:rsidR="003B4D07" w:rsidRPr="003B7BCA" w:rsidRDefault="00BB084C" w:rsidP="003B4D07">
            <w:pPr>
              <w:tabs>
                <w:tab w:val="decimal" w:pos="1536"/>
              </w:tabs>
              <w:spacing w:before="120" w:after="120"/>
            </w:pPr>
            <w:r>
              <w:rPr>
                <w:rFonts w:eastAsia="Times New Roman" w:cs="Times New Roman"/>
                <w:color w:val="000000"/>
              </w:rPr>
              <w:t>5.3</w:t>
            </w:r>
          </w:p>
        </w:tc>
      </w:tr>
      <w:tr w:rsidR="003B4D07" w:rsidRPr="003B7BCA" w14:paraId="6D193155" w14:textId="77777777" w:rsidTr="00935724">
        <w:tc>
          <w:tcPr>
            <w:tcW w:w="3192" w:type="dxa"/>
          </w:tcPr>
          <w:p w14:paraId="1AAF7F58" w14:textId="77777777" w:rsidR="003B4D07" w:rsidRPr="003B7BCA" w:rsidRDefault="003B4D07" w:rsidP="00D47730">
            <w:pPr>
              <w:spacing w:before="120" w:after="120"/>
              <w:ind w:firstLine="252"/>
            </w:pPr>
            <w:r w:rsidRPr="003B7BCA">
              <w:t>4-7</w:t>
            </w:r>
          </w:p>
        </w:tc>
        <w:tc>
          <w:tcPr>
            <w:tcW w:w="3192" w:type="dxa"/>
            <w:vAlign w:val="bottom"/>
          </w:tcPr>
          <w:p w14:paraId="59B52550" w14:textId="6A9EB7BB" w:rsidR="003B4D07" w:rsidRPr="003B7BCA" w:rsidRDefault="00BB084C" w:rsidP="00935724">
            <w:pPr>
              <w:tabs>
                <w:tab w:val="decimal" w:pos="1578"/>
              </w:tabs>
              <w:spacing w:before="120" w:after="120"/>
            </w:pPr>
            <w:r>
              <w:rPr>
                <w:rFonts w:eastAsia="Times New Roman" w:cs="Times New Roman"/>
                <w:color w:val="000000"/>
              </w:rPr>
              <w:t>38</w:t>
            </w:r>
          </w:p>
        </w:tc>
        <w:tc>
          <w:tcPr>
            <w:tcW w:w="3192" w:type="dxa"/>
            <w:vAlign w:val="bottom"/>
          </w:tcPr>
          <w:p w14:paraId="15655FCE" w14:textId="6F539A4F" w:rsidR="003B4D07" w:rsidRPr="003B7BCA" w:rsidRDefault="00BB084C" w:rsidP="003B4D07">
            <w:pPr>
              <w:tabs>
                <w:tab w:val="decimal" w:pos="1536"/>
              </w:tabs>
              <w:spacing w:before="120" w:after="120"/>
            </w:pPr>
            <w:r>
              <w:rPr>
                <w:rFonts w:eastAsia="Times New Roman" w:cs="Times New Roman"/>
                <w:color w:val="000000"/>
              </w:rPr>
              <w:t>20.0</w:t>
            </w:r>
          </w:p>
        </w:tc>
      </w:tr>
      <w:tr w:rsidR="003B4D07" w:rsidRPr="003B7BCA" w14:paraId="4A5F68E3" w14:textId="77777777" w:rsidTr="00935724">
        <w:tc>
          <w:tcPr>
            <w:tcW w:w="3192" w:type="dxa"/>
          </w:tcPr>
          <w:p w14:paraId="7A867F5D" w14:textId="77777777" w:rsidR="003B4D07" w:rsidRPr="003B7BCA" w:rsidRDefault="003B4D07" w:rsidP="00D47730">
            <w:pPr>
              <w:spacing w:before="120" w:after="120"/>
              <w:ind w:firstLine="162"/>
            </w:pPr>
            <w:r w:rsidRPr="003B7BCA">
              <w:t>8-11</w:t>
            </w:r>
          </w:p>
        </w:tc>
        <w:tc>
          <w:tcPr>
            <w:tcW w:w="3192" w:type="dxa"/>
            <w:vAlign w:val="bottom"/>
          </w:tcPr>
          <w:p w14:paraId="14D10BCC" w14:textId="7812615F" w:rsidR="003B4D07" w:rsidRPr="003B7BCA" w:rsidRDefault="00BB084C" w:rsidP="00935724">
            <w:pPr>
              <w:tabs>
                <w:tab w:val="decimal" w:pos="1578"/>
              </w:tabs>
              <w:spacing w:before="120" w:after="120"/>
            </w:pPr>
            <w:r>
              <w:rPr>
                <w:rFonts w:eastAsia="Times New Roman" w:cs="Times New Roman"/>
                <w:color w:val="000000"/>
              </w:rPr>
              <w:t>23</w:t>
            </w:r>
          </w:p>
        </w:tc>
        <w:tc>
          <w:tcPr>
            <w:tcW w:w="3192" w:type="dxa"/>
            <w:vAlign w:val="bottom"/>
          </w:tcPr>
          <w:p w14:paraId="32BE5213" w14:textId="29E5C8C3" w:rsidR="003B4D07" w:rsidRPr="003B7BCA" w:rsidRDefault="00BB084C" w:rsidP="003B4D07">
            <w:pPr>
              <w:tabs>
                <w:tab w:val="decimal" w:pos="1536"/>
              </w:tabs>
              <w:spacing w:before="120" w:after="120"/>
            </w:pPr>
            <w:r>
              <w:rPr>
                <w:rFonts w:eastAsia="Times New Roman" w:cs="Times New Roman"/>
                <w:color w:val="000000"/>
              </w:rPr>
              <w:t>12.1</w:t>
            </w:r>
          </w:p>
        </w:tc>
      </w:tr>
      <w:tr w:rsidR="003B4D07" w:rsidRPr="003B7BCA" w14:paraId="2DBAA708" w14:textId="77777777" w:rsidTr="00935724">
        <w:tc>
          <w:tcPr>
            <w:tcW w:w="3192" w:type="dxa"/>
          </w:tcPr>
          <w:p w14:paraId="494798F7" w14:textId="77777777" w:rsidR="003B4D07" w:rsidRPr="003B7BCA" w:rsidRDefault="003B4D07" w:rsidP="00D47730">
            <w:pPr>
              <w:spacing w:before="120" w:after="120"/>
              <w:ind w:firstLine="72"/>
            </w:pPr>
            <w:r w:rsidRPr="003B7BCA">
              <w:t>12-15</w:t>
            </w:r>
          </w:p>
        </w:tc>
        <w:tc>
          <w:tcPr>
            <w:tcW w:w="3192" w:type="dxa"/>
            <w:vAlign w:val="bottom"/>
          </w:tcPr>
          <w:p w14:paraId="5AC42707" w14:textId="36FD27D9" w:rsidR="003B4D07" w:rsidRPr="003B7BCA" w:rsidRDefault="00801836" w:rsidP="00935724">
            <w:pPr>
              <w:tabs>
                <w:tab w:val="decimal" w:pos="1578"/>
              </w:tabs>
              <w:spacing w:before="120" w:after="120"/>
            </w:pPr>
            <w:r>
              <w:rPr>
                <w:rFonts w:eastAsia="Times New Roman" w:cs="Times New Roman"/>
                <w:color w:val="000000"/>
              </w:rPr>
              <w:t>2</w:t>
            </w:r>
            <w:r w:rsidR="00BB084C">
              <w:rPr>
                <w:rFonts w:eastAsia="Times New Roman" w:cs="Times New Roman"/>
                <w:color w:val="000000"/>
              </w:rPr>
              <w:t>5</w:t>
            </w:r>
          </w:p>
        </w:tc>
        <w:tc>
          <w:tcPr>
            <w:tcW w:w="3192" w:type="dxa"/>
            <w:vAlign w:val="bottom"/>
          </w:tcPr>
          <w:p w14:paraId="321A1594" w14:textId="2663E4E0" w:rsidR="003B4D07" w:rsidRPr="003B7BCA" w:rsidRDefault="00BB084C" w:rsidP="003B4D07">
            <w:pPr>
              <w:tabs>
                <w:tab w:val="decimal" w:pos="1536"/>
              </w:tabs>
              <w:spacing w:before="120" w:after="120"/>
            </w:pPr>
            <w:r>
              <w:rPr>
                <w:rFonts w:eastAsia="Times New Roman" w:cs="Times New Roman"/>
                <w:color w:val="000000"/>
              </w:rPr>
              <w:t>13.2</w:t>
            </w:r>
          </w:p>
        </w:tc>
      </w:tr>
      <w:tr w:rsidR="003B4D07" w:rsidRPr="003B7BCA" w14:paraId="6D3CA77D" w14:textId="77777777" w:rsidTr="00935724">
        <w:tc>
          <w:tcPr>
            <w:tcW w:w="3192" w:type="dxa"/>
          </w:tcPr>
          <w:p w14:paraId="6CA6B6B2" w14:textId="77777777" w:rsidR="003B4D07" w:rsidRPr="003B7BCA" w:rsidRDefault="003B4D07" w:rsidP="00D47730">
            <w:pPr>
              <w:spacing w:before="120" w:after="120"/>
              <w:ind w:firstLine="72"/>
            </w:pPr>
            <w:r w:rsidRPr="003B7BCA">
              <w:t>16-20</w:t>
            </w:r>
          </w:p>
        </w:tc>
        <w:tc>
          <w:tcPr>
            <w:tcW w:w="3192" w:type="dxa"/>
            <w:vAlign w:val="bottom"/>
          </w:tcPr>
          <w:p w14:paraId="52BBADDE" w14:textId="32FC84EE" w:rsidR="003B4D07" w:rsidRPr="003B7BCA" w:rsidRDefault="00B8298A" w:rsidP="00935724">
            <w:pPr>
              <w:tabs>
                <w:tab w:val="decimal" w:pos="1578"/>
              </w:tabs>
              <w:spacing w:before="120" w:after="120"/>
            </w:pPr>
            <w:r>
              <w:rPr>
                <w:rFonts w:eastAsia="Times New Roman" w:cs="Times New Roman"/>
                <w:color w:val="000000"/>
              </w:rPr>
              <w:t>42</w:t>
            </w:r>
          </w:p>
        </w:tc>
        <w:tc>
          <w:tcPr>
            <w:tcW w:w="3192" w:type="dxa"/>
            <w:vAlign w:val="bottom"/>
          </w:tcPr>
          <w:p w14:paraId="050A0A60" w14:textId="5DAFFCFF" w:rsidR="003B4D07" w:rsidRPr="003B7BCA" w:rsidRDefault="00A52D48" w:rsidP="003B4D07">
            <w:pPr>
              <w:tabs>
                <w:tab w:val="decimal" w:pos="1536"/>
              </w:tabs>
              <w:spacing w:before="120" w:after="120"/>
            </w:pPr>
            <w:r>
              <w:rPr>
                <w:rFonts w:eastAsia="Times New Roman" w:cs="Times New Roman"/>
                <w:color w:val="000000"/>
              </w:rPr>
              <w:t>2</w:t>
            </w:r>
            <w:r w:rsidR="00BB084C">
              <w:rPr>
                <w:rFonts w:eastAsia="Times New Roman" w:cs="Times New Roman"/>
                <w:color w:val="000000"/>
              </w:rPr>
              <w:t>2.1</w:t>
            </w:r>
          </w:p>
        </w:tc>
      </w:tr>
      <w:tr w:rsidR="003B4D07" w:rsidRPr="003B7BCA" w14:paraId="003C260C" w14:textId="77777777" w:rsidTr="00935724">
        <w:tc>
          <w:tcPr>
            <w:tcW w:w="3192" w:type="dxa"/>
          </w:tcPr>
          <w:p w14:paraId="4AF26377" w14:textId="77777777" w:rsidR="003B4D07" w:rsidRPr="003B7BCA" w:rsidRDefault="003B4D07" w:rsidP="00D47730">
            <w:pPr>
              <w:spacing w:before="120" w:after="120"/>
              <w:ind w:firstLine="72"/>
            </w:pPr>
            <w:r w:rsidRPr="003B7BCA">
              <w:t>21-25</w:t>
            </w:r>
          </w:p>
        </w:tc>
        <w:tc>
          <w:tcPr>
            <w:tcW w:w="3192" w:type="dxa"/>
            <w:vAlign w:val="bottom"/>
          </w:tcPr>
          <w:p w14:paraId="4FDEAC37" w14:textId="1C7EA7E5" w:rsidR="003B4D07" w:rsidRPr="003B7BCA" w:rsidRDefault="00B8298A" w:rsidP="00935724">
            <w:pPr>
              <w:tabs>
                <w:tab w:val="decimal" w:pos="1578"/>
              </w:tabs>
              <w:spacing w:before="120" w:after="120"/>
            </w:pPr>
            <w:r>
              <w:rPr>
                <w:rFonts w:eastAsia="Times New Roman" w:cs="Times New Roman"/>
                <w:color w:val="000000"/>
              </w:rPr>
              <w:t>27</w:t>
            </w:r>
          </w:p>
        </w:tc>
        <w:tc>
          <w:tcPr>
            <w:tcW w:w="3192" w:type="dxa"/>
            <w:vAlign w:val="bottom"/>
          </w:tcPr>
          <w:p w14:paraId="2C81879C" w14:textId="149D5F75" w:rsidR="003B4D07" w:rsidRPr="003B7BCA" w:rsidRDefault="00A52D48" w:rsidP="003B4D07">
            <w:pPr>
              <w:tabs>
                <w:tab w:val="decimal" w:pos="1536"/>
              </w:tabs>
              <w:spacing w:before="120" w:after="120"/>
            </w:pPr>
            <w:r>
              <w:rPr>
                <w:rFonts w:eastAsia="Times New Roman" w:cs="Times New Roman"/>
                <w:color w:val="000000"/>
              </w:rPr>
              <w:t>1</w:t>
            </w:r>
            <w:r w:rsidR="00BB084C">
              <w:rPr>
                <w:rFonts w:eastAsia="Times New Roman" w:cs="Times New Roman"/>
                <w:color w:val="000000"/>
              </w:rPr>
              <w:t>4.2</w:t>
            </w:r>
          </w:p>
        </w:tc>
      </w:tr>
      <w:tr w:rsidR="003B4D07" w:rsidRPr="003B7BCA" w14:paraId="6DA753D6" w14:textId="77777777" w:rsidTr="00935724">
        <w:tc>
          <w:tcPr>
            <w:tcW w:w="3192" w:type="dxa"/>
          </w:tcPr>
          <w:p w14:paraId="1E8C3A95" w14:textId="77777777" w:rsidR="003B4D07" w:rsidRPr="003B7BCA" w:rsidRDefault="003B4D07" w:rsidP="00D47730">
            <w:pPr>
              <w:spacing w:before="120" w:after="120"/>
              <w:ind w:firstLine="72"/>
            </w:pPr>
            <w:r w:rsidRPr="003B7BCA">
              <w:t>26-30</w:t>
            </w:r>
          </w:p>
        </w:tc>
        <w:tc>
          <w:tcPr>
            <w:tcW w:w="3192" w:type="dxa"/>
            <w:vAlign w:val="bottom"/>
          </w:tcPr>
          <w:p w14:paraId="04B01DA8" w14:textId="71C82B2F" w:rsidR="003B4D07" w:rsidRPr="003B7BCA" w:rsidRDefault="00801836" w:rsidP="00935724">
            <w:pPr>
              <w:tabs>
                <w:tab w:val="decimal" w:pos="1578"/>
              </w:tabs>
              <w:spacing w:before="120" w:after="120"/>
            </w:pPr>
            <w:r>
              <w:rPr>
                <w:rFonts w:eastAsia="Times New Roman" w:cs="Times New Roman"/>
                <w:color w:val="000000"/>
              </w:rPr>
              <w:t>1</w:t>
            </w:r>
            <w:r w:rsidR="00B8298A">
              <w:rPr>
                <w:rFonts w:eastAsia="Times New Roman" w:cs="Times New Roman"/>
                <w:color w:val="000000"/>
              </w:rPr>
              <w:t>4</w:t>
            </w:r>
          </w:p>
        </w:tc>
        <w:tc>
          <w:tcPr>
            <w:tcW w:w="3192" w:type="dxa"/>
            <w:vAlign w:val="bottom"/>
          </w:tcPr>
          <w:p w14:paraId="736E6861" w14:textId="317FF669" w:rsidR="003B4D07" w:rsidRPr="003B7BCA" w:rsidRDefault="00BB084C" w:rsidP="003B4D07">
            <w:pPr>
              <w:tabs>
                <w:tab w:val="decimal" w:pos="1536"/>
              </w:tabs>
              <w:spacing w:before="120" w:after="120"/>
            </w:pPr>
            <w:r>
              <w:rPr>
                <w:rFonts w:eastAsia="Times New Roman" w:cs="Times New Roman"/>
                <w:color w:val="000000"/>
              </w:rPr>
              <w:t>7.4</w:t>
            </w:r>
          </w:p>
        </w:tc>
      </w:tr>
      <w:tr w:rsidR="003B4D07" w:rsidRPr="003B7BCA" w14:paraId="3BFFE8DB" w14:textId="77777777" w:rsidTr="00935724">
        <w:tc>
          <w:tcPr>
            <w:tcW w:w="3192" w:type="dxa"/>
          </w:tcPr>
          <w:p w14:paraId="474829A9" w14:textId="77777777" w:rsidR="003B4D07" w:rsidRPr="003B7BCA" w:rsidRDefault="003B4D07" w:rsidP="00D47730">
            <w:pPr>
              <w:spacing w:before="120" w:after="120"/>
              <w:ind w:firstLine="252"/>
            </w:pPr>
            <w:r w:rsidRPr="003B7BCA">
              <w:t>31+</w:t>
            </w:r>
          </w:p>
        </w:tc>
        <w:tc>
          <w:tcPr>
            <w:tcW w:w="3192" w:type="dxa"/>
            <w:vAlign w:val="bottom"/>
          </w:tcPr>
          <w:p w14:paraId="3673080B" w14:textId="1C4C4A2A" w:rsidR="003B4D07" w:rsidRPr="003B7BCA" w:rsidRDefault="00B8298A" w:rsidP="00935724">
            <w:pPr>
              <w:tabs>
                <w:tab w:val="decimal" w:pos="1578"/>
              </w:tabs>
              <w:spacing w:before="120" w:after="120"/>
            </w:pPr>
            <w:r>
              <w:rPr>
                <w:rFonts w:eastAsia="Times New Roman" w:cs="Times New Roman"/>
                <w:color w:val="000000"/>
              </w:rPr>
              <w:t>11</w:t>
            </w:r>
          </w:p>
        </w:tc>
        <w:tc>
          <w:tcPr>
            <w:tcW w:w="3192" w:type="dxa"/>
            <w:vAlign w:val="bottom"/>
          </w:tcPr>
          <w:p w14:paraId="76086B0E" w14:textId="0EA70BD0" w:rsidR="003B4D07" w:rsidRPr="003B7BCA" w:rsidRDefault="00BB084C" w:rsidP="003B4D07">
            <w:pPr>
              <w:tabs>
                <w:tab w:val="decimal" w:pos="1536"/>
              </w:tabs>
              <w:spacing w:before="120" w:after="120"/>
            </w:pPr>
            <w:r>
              <w:rPr>
                <w:rFonts w:eastAsia="Times New Roman" w:cs="Times New Roman"/>
                <w:color w:val="000000"/>
              </w:rPr>
              <w:t>5.8</w:t>
            </w:r>
          </w:p>
        </w:tc>
      </w:tr>
      <w:tr w:rsidR="003B4D07" w:rsidRPr="003B7BCA" w14:paraId="1B8D1D89" w14:textId="77777777" w:rsidTr="00935724">
        <w:tc>
          <w:tcPr>
            <w:tcW w:w="3192" w:type="dxa"/>
            <w:tcBorders>
              <w:bottom w:val="single" w:sz="8" w:space="0" w:color="auto"/>
            </w:tcBorders>
          </w:tcPr>
          <w:p w14:paraId="344E2A28" w14:textId="77777777" w:rsidR="003B4D07" w:rsidRPr="003B7BCA" w:rsidRDefault="003B4D07" w:rsidP="00D47730">
            <w:pPr>
              <w:spacing w:before="120" w:after="120"/>
              <w:ind w:firstLine="162"/>
            </w:pPr>
            <w:r w:rsidRPr="003B7BCA">
              <w:t>Total</w:t>
            </w:r>
          </w:p>
        </w:tc>
        <w:tc>
          <w:tcPr>
            <w:tcW w:w="3192" w:type="dxa"/>
            <w:tcBorders>
              <w:bottom w:val="single" w:sz="8" w:space="0" w:color="auto"/>
            </w:tcBorders>
          </w:tcPr>
          <w:p w14:paraId="35B40A90" w14:textId="039F163D" w:rsidR="003B4D07" w:rsidRPr="003B7BCA" w:rsidRDefault="00801836" w:rsidP="00935724">
            <w:pPr>
              <w:tabs>
                <w:tab w:val="decimal" w:pos="1578"/>
              </w:tabs>
              <w:spacing w:before="120" w:after="120"/>
            </w:pPr>
            <w:r>
              <w:t>1</w:t>
            </w:r>
            <w:r w:rsidR="004159FA">
              <w:t>91</w:t>
            </w:r>
          </w:p>
        </w:tc>
        <w:tc>
          <w:tcPr>
            <w:tcW w:w="3192" w:type="dxa"/>
            <w:tcBorders>
              <w:bottom w:val="single" w:sz="8" w:space="0" w:color="auto"/>
            </w:tcBorders>
          </w:tcPr>
          <w:p w14:paraId="5705FB78" w14:textId="6F8BBAEA" w:rsidR="003B4D07" w:rsidRPr="003B7BCA" w:rsidRDefault="003B4D07" w:rsidP="00D47730">
            <w:pPr>
              <w:tabs>
                <w:tab w:val="decimal" w:pos="1764"/>
              </w:tabs>
              <w:spacing w:before="120" w:after="120"/>
            </w:pPr>
            <w:r w:rsidRPr="003B7BCA">
              <w:t>100</w:t>
            </w:r>
          </w:p>
        </w:tc>
      </w:tr>
    </w:tbl>
    <w:p w14:paraId="491B022E" w14:textId="77777777" w:rsidR="0044259D" w:rsidRDefault="0044259D">
      <w:pPr>
        <w:rPr>
          <w:rFonts w:cs="Times New Roman"/>
        </w:rPr>
      </w:pPr>
      <w:r>
        <w:rPr>
          <w:rFonts w:cs="Times New Roman"/>
        </w:rPr>
        <w:br w:type="page"/>
      </w:r>
    </w:p>
    <w:p w14:paraId="6E5E3FE7" w14:textId="77777777" w:rsidR="0044259D" w:rsidRPr="003B7BCA" w:rsidRDefault="0044259D">
      <w:pPr>
        <w:rPr>
          <w:rFonts w:cs="Times New Roman"/>
        </w:rPr>
      </w:pP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9"/>
        <w:gridCol w:w="2721"/>
        <w:gridCol w:w="2310"/>
        <w:gridCol w:w="144"/>
      </w:tblGrid>
      <w:tr w:rsidR="00125F1B" w:rsidRPr="003B7BCA" w14:paraId="1120374C" w14:textId="77777777" w:rsidTr="00801836">
        <w:trPr>
          <w:gridAfter w:val="1"/>
          <w:wAfter w:w="144" w:type="dxa"/>
        </w:trPr>
        <w:tc>
          <w:tcPr>
            <w:tcW w:w="9240" w:type="dxa"/>
            <w:gridSpan w:val="3"/>
          </w:tcPr>
          <w:p w14:paraId="22A438B5" w14:textId="6B2F62F4" w:rsidR="00125F1B" w:rsidRPr="003B7BCA" w:rsidRDefault="00125F1B" w:rsidP="00125F1B">
            <w:r w:rsidRPr="003B7BCA">
              <w:t>Table 4</w:t>
            </w:r>
          </w:p>
        </w:tc>
      </w:tr>
      <w:tr w:rsidR="00125F1B" w:rsidRPr="003B7BCA" w14:paraId="4A4EA598" w14:textId="77777777" w:rsidTr="00801836">
        <w:trPr>
          <w:gridAfter w:val="1"/>
          <w:wAfter w:w="144" w:type="dxa"/>
        </w:trPr>
        <w:tc>
          <w:tcPr>
            <w:tcW w:w="9240" w:type="dxa"/>
            <w:gridSpan w:val="3"/>
            <w:tcBorders>
              <w:bottom w:val="single" w:sz="8" w:space="0" w:color="auto"/>
            </w:tcBorders>
          </w:tcPr>
          <w:p w14:paraId="1BF61349" w14:textId="4D826800" w:rsidR="00125F1B" w:rsidRPr="003B7BCA" w:rsidRDefault="00125F1B" w:rsidP="00935724">
            <w:pPr>
              <w:spacing w:before="120" w:after="120"/>
              <w:rPr>
                <w:i/>
              </w:rPr>
            </w:pPr>
            <w:r w:rsidRPr="003B7BCA">
              <w:rPr>
                <w:i/>
              </w:rPr>
              <w:t>Regional representation of Oregon for the 201</w:t>
            </w:r>
            <w:r w:rsidR="00B8298A">
              <w:rPr>
                <w:i/>
              </w:rPr>
              <w:t>8</w:t>
            </w:r>
            <w:r w:rsidRPr="003B7BCA">
              <w:rPr>
                <w:i/>
              </w:rPr>
              <w:t>-201</w:t>
            </w:r>
            <w:r w:rsidR="00BB084C">
              <w:rPr>
                <w:i/>
              </w:rPr>
              <w:t>9</w:t>
            </w:r>
            <w:r w:rsidRPr="003B7BCA">
              <w:rPr>
                <w:i/>
              </w:rPr>
              <w:t xml:space="preserve"> survey sample</w:t>
            </w:r>
          </w:p>
        </w:tc>
      </w:tr>
      <w:tr w:rsidR="00125F1B" w:rsidRPr="003B7BCA" w14:paraId="5CCB09E0" w14:textId="77777777" w:rsidTr="00801836">
        <w:tc>
          <w:tcPr>
            <w:tcW w:w="4209" w:type="dxa"/>
            <w:tcBorders>
              <w:top w:val="single" w:sz="8" w:space="0" w:color="auto"/>
              <w:bottom w:val="single" w:sz="8" w:space="0" w:color="auto"/>
            </w:tcBorders>
          </w:tcPr>
          <w:p w14:paraId="46339C66" w14:textId="77777777" w:rsidR="00125F1B" w:rsidRPr="003B7BCA" w:rsidRDefault="00125F1B" w:rsidP="00935724">
            <w:pPr>
              <w:spacing w:before="120" w:after="120"/>
            </w:pPr>
            <w:r w:rsidRPr="003B7BCA">
              <w:t>Region</w:t>
            </w:r>
          </w:p>
        </w:tc>
        <w:tc>
          <w:tcPr>
            <w:tcW w:w="2721" w:type="dxa"/>
            <w:tcBorders>
              <w:top w:val="single" w:sz="8" w:space="0" w:color="auto"/>
              <w:bottom w:val="single" w:sz="8" w:space="0" w:color="auto"/>
            </w:tcBorders>
          </w:tcPr>
          <w:p w14:paraId="4503C946" w14:textId="7B56D445" w:rsidR="00125F1B" w:rsidRPr="003B7BCA" w:rsidRDefault="00125F1B" w:rsidP="00935724">
            <w:pPr>
              <w:spacing w:before="120" w:after="120"/>
              <w:jc w:val="center"/>
              <w:rPr>
                <w:i/>
              </w:rPr>
            </w:pPr>
            <w:r w:rsidRPr="003B7BCA">
              <w:rPr>
                <w:i/>
              </w:rPr>
              <w:t>n</w:t>
            </w:r>
          </w:p>
        </w:tc>
        <w:tc>
          <w:tcPr>
            <w:tcW w:w="2454" w:type="dxa"/>
            <w:gridSpan w:val="2"/>
            <w:tcBorders>
              <w:top w:val="single" w:sz="8" w:space="0" w:color="auto"/>
              <w:bottom w:val="single" w:sz="8" w:space="0" w:color="auto"/>
            </w:tcBorders>
          </w:tcPr>
          <w:p w14:paraId="3D4D6290" w14:textId="77777777" w:rsidR="00125F1B" w:rsidRPr="003B7BCA" w:rsidRDefault="00125F1B" w:rsidP="00935724">
            <w:pPr>
              <w:spacing w:before="120" w:after="120"/>
              <w:jc w:val="center"/>
              <w:rPr>
                <w:i/>
              </w:rPr>
            </w:pPr>
            <w:r w:rsidRPr="003B7BCA">
              <w:rPr>
                <w:i/>
              </w:rPr>
              <w:t>%</w:t>
            </w:r>
          </w:p>
        </w:tc>
      </w:tr>
      <w:tr w:rsidR="00125F1B" w:rsidRPr="003B7BCA" w14:paraId="6B310106" w14:textId="77777777" w:rsidTr="00801836">
        <w:tc>
          <w:tcPr>
            <w:tcW w:w="4209" w:type="dxa"/>
            <w:tcBorders>
              <w:top w:val="single" w:sz="8" w:space="0" w:color="auto"/>
            </w:tcBorders>
            <w:vAlign w:val="bottom"/>
          </w:tcPr>
          <w:p w14:paraId="7446AEDD" w14:textId="5D669C4F" w:rsidR="00125F1B" w:rsidRPr="003B7BCA" w:rsidRDefault="00125F1B" w:rsidP="00935724">
            <w:pPr>
              <w:spacing w:before="120" w:after="120"/>
            </w:pPr>
            <w:r w:rsidRPr="003B7BCA">
              <w:rPr>
                <w:rFonts w:eastAsia="Times New Roman" w:cs="Times New Roman"/>
                <w:color w:val="000000"/>
              </w:rPr>
              <w:t>Northeast (Pendleton, LaGrande Areas)</w:t>
            </w:r>
          </w:p>
        </w:tc>
        <w:tc>
          <w:tcPr>
            <w:tcW w:w="2721" w:type="dxa"/>
            <w:tcBorders>
              <w:top w:val="single" w:sz="8" w:space="0" w:color="auto"/>
            </w:tcBorders>
            <w:vAlign w:val="center"/>
          </w:tcPr>
          <w:p w14:paraId="56AF41FB" w14:textId="3D7C3D09" w:rsidR="00125F1B" w:rsidRPr="003B7BCA" w:rsidRDefault="00125F1B" w:rsidP="00125F1B">
            <w:pPr>
              <w:tabs>
                <w:tab w:val="decimal" w:pos="1422"/>
              </w:tabs>
              <w:spacing w:before="120" w:after="120"/>
            </w:pPr>
            <w:r w:rsidRPr="003B7BCA">
              <w:rPr>
                <w:rFonts w:eastAsia="Times New Roman" w:cs="Times New Roman"/>
                <w:color w:val="000000"/>
              </w:rPr>
              <w:t>1</w:t>
            </w:r>
            <w:r w:rsidR="00B8298A">
              <w:rPr>
                <w:rFonts w:eastAsia="Times New Roman" w:cs="Times New Roman"/>
                <w:color w:val="000000"/>
              </w:rPr>
              <w:t>2</w:t>
            </w:r>
          </w:p>
        </w:tc>
        <w:tc>
          <w:tcPr>
            <w:tcW w:w="2454" w:type="dxa"/>
            <w:gridSpan w:val="2"/>
            <w:tcBorders>
              <w:top w:val="single" w:sz="8" w:space="0" w:color="auto"/>
            </w:tcBorders>
            <w:vAlign w:val="center"/>
          </w:tcPr>
          <w:p w14:paraId="1C831107" w14:textId="06F753AF" w:rsidR="00125F1B" w:rsidRPr="003B7BCA" w:rsidRDefault="00B8298A" w:rsidP="00125F1B">
            <w:pPr>
              <w:tabs>
                <w:tab w:val="decimal" w:pos="1197"/>
              </w:tabs>
              <w:spacing w:before="120" w:after="120"/>
            </w:pPr>
            <w:r>
              <w:rPr>
                <w:rFonts w:eastAsia="Times New Roman" w:cs="Times New Roman"/>
                <w:color w:val="000000"/>
              </w:rPr>
              <w:t>6.3</w:t>
            </w:r>
          </w:p>
        </w:tc>
      </w:tr>
      <w:tr w:rsidR="00125F1B" w:rsidRPr="003B7BCA" w14:paraId="45C9DC31" w14:textId="77777777" w:rsidTr="00801836">
        <w:tc>
          <w:tcPr>
            <w:tcW w:w="4209" w:type="dxa"/>
            <w:vAlign w:val="bottom"/>
          </w:tcPr>
          <w:p w14:paraId="520127F5" w14:textId="18FE5FE9" w:rsidR="00125F1B" w:rsidRPr="003B7BCA" w:rsidRDefault="00125F1B" w:rsidP="00935724">
            <w:pPr>
              <w:spacing w:before="120" w:after="120"/>
            </w:pPr>
            <w:r w:rsidRPr="003B7BCA">
              <w:rPr>
                <w:rFonts w:eastAsia="Times New Roman" w:cs="Times New Roman"/>
                <w:color w:val="000000"/>
              </w:rPr>
              <w:t>North I-5 Corridor (Portland, Beaverton, Hillsboro Areas)</w:t>
            </w:r>
          </w:p>
        </w:tc>
        <w:tc>
          <w:tcPr>
            <w:tcW w:w="2721" w:type="dxa"/>
            <w:vAlign w:val="center"/>
          </w:tcPr>
          <w:p w14:paraId="1166C7AF" w14:textId="0A0AB642" w:rsidR="00125F1B" w:rsidRPr="003B7BCA" w:rsidRDefault="00B8298A" w:rsidP="00125F1B">
            <w:pPr>
              <w:tabs>
                <w:tab w:val="decimal" w:pos="1422"/>
              </w:tabs>
              <w:spacing w:before="120" w:after="120"/>
            </w:pPr>
            <w:r>
              <w:rPr>
                <w:rFonts w:eastAsia="Times New Roman" w:cs="Times New Roman"/>
                <w:color w:val="000000"/>
              </w:rPr>
              <w:t>81</w:t>
            </w:r>
          </w:p>
        </w:tc>
        <w:tc>
          <w:tcPr>
            <w:tcW w:w="2454" w:type="dxa"/>
            <w:gridSpan w:val="2"/>
            <w:vAlign w:val="center"/>
          </w:tcPr>
          <w:p w14:paraId="2F074AB5" w14:textId="3C0BF194" w:rsidR="00125F1B" w:rsidRPr="003B7BCA" w:rsidRDefault="00B8298A" w:rsidP="00125F1B">
            <w:pPr>
              <w:tabs>
                <w:tab w:val="decimal" w:pos="1197"/>
              </w:tabs>
              <w:spacing w:before="120" w:after="120"/>
            </w:pPr>
            <w:r>
              <w:rPr>
                <w:rFonts w:eastAsia="Times New Roman" w:cs="Times New Roman"/>
                <w:color w:val="000000"/>
              </w:rPr>
              <w:t>42.3</w:t>
            </w:r>
          </w:p>
        </w:tc>
      </w:tr>
      <w:tr w:rsidR="00125F1B" w:rsidRPr="003B7BCA" w14:paraId="0584589E" w14:textId="77777777" w:rsidTr="00801836">
        <w:tc>
          <w:tcPr>
            <w:tcW w:w="4209" w:type="dxa"/>
            <w:vAlign w:val="bottom"/>
          </w:tcPr>
          <w:p w14:paraId="6C1126DB" w14:textId="5A48ACF3" w:rsidR="00125F1B" w:rsidRPr="003B7BCA" w:rsidRDefault="00125F1B" w:rsidP="00935724">
            <w:pPr>
              <w:spacing w:before="120" w:after="120"/>
            </w:pPr>
            <w:r w:rsidRPr="003B7BCA">
              <w:rPr>
                <w:rFonts w:eastAsia="Times New Roman" w:cs="Times New Roman"/>
                <w:color w:val="000000"/>
              </w:rPr>
              <w:t>North Coast (Astoria, Seaside, Lincoln City Areas)</w:t>
            </w:r>
          </w:p>
        </w:tc>
        <w:tc>
          <w:tcPr>
            <w:tcW w:w="2721" w:type="dxa"/>
            <w:vAlign w:val="center"/>
          </w:tcPr>
          <w:p w14:paraId="690C7E57" w14:textId="60E5DBEC" w:rsidR="00125F1B" w:rsidRPr="003B7BCA" w:rsidRDefault="00B8298A" w:rsidP="00125F1B">
            <w:pPr>
              <w:tabs>
                <w:tab w:val="decimal" w:pos="1422"/>
              </w:tabs>
              <w:spacing w:before="120" w:after="120"/>
            </w:pPr>
            <w:r>
              <w:rPr>
                <w:rFonts w:eastAsia="Times New Roman" w:cs="Times New Roman"/>
                <w:color w:val="000000"/>
              </w:rPr>
              <w:t>8</w:t>
            </w:r>
          </w:p>
        </w:tc>
        <w:tc>
          <w:tcPr>
            <w:tcW w:w="2454" w:type="dxa"/>
            <w:gridSpan w:val="2"/>
            <w:vAlign w:val="center"/>
          </w:tcPr>
          <w:p w14:paraId="1F57C745" w14:textId="6CFE8975" w:rsidR="00125F1B" w:rsidRPr="003B7BCA" w:rsidRDefault="00B8298A" w:rsidP="00125F1B">
            <w:pPr>
              <w:tabs>
                <w:tab w:val="decimal" w:pos="1197"/>
              </w:tabs>
              <w:spacing w:before="120" w:after="120"/>
            </w:pPr>
            <w:r>
              <w:rPr>
                <w:rFonts w:eastAsia="Times New Roman" w:cs="Times New Roman"/>
                <w:color w:val="000000"/>
              </w:rPr>
              <w:t>4.2</w:t>
            </w:r>
          </w:p>
        </w:tc>
      </w:tr>
      <w:tr w:rsidR="00125F1B" w:rsidRPr="003B7BCA" w14:paraId="6E6B904E" w14:textId="77777777" w:rsidTr="00801836">
        <w:tc>
          <w:tcPr>
            <w:tcW w:w="4209" w:type="dxa"/>
            <w:vAlign w:val="bottom"/>
          </w:tcPr>
          <w:p w14:paraId="414861DE" w14:textId="2B2E0428" w:rsidR="00125F1B" w:rsidRPr="003B7BCA" w:rsidRDefault="00125F1B" w:rsidP="00935724">
            <w:pPr>
              <w:spacing w:before="120" w:after="120"/>
            </w:pPr>
            <w:r w:rsidRPr="003B7BCA">
              <w:rPr>
                <w:rFonts w:eastAsia="Times New Roman" w:cs="Times New Roman"/>
                <w:color w:val="000000"/>
              </w:rPr>
              <w:t>Central (Bend, LaPine, Redmond, Madras, Prineville Areas)</w:t>
            </w:r>
          </w:p>
        </w:tc>
        <w:tc>
          <w:tcPr>
            <w:tcW w:w="2721" w:type="dxa"/>
            <w:vAlign w:val="center"/>
          </w:tcPr>
          <w:p w14:paraId="10DF4B88" w14:textId="55202BB6" w:rsidR="00125F1B" w:rsidRPr="003B7BCA" w:rsidRDefault="00B8298A" w:rsidP="00125F1B">
            <w:pPr>
              <w:tabs>
                <w:tab w:val="decimal" w:pos="1422"/>
              </w:tabs>
              <w:spacing w:before="120" w:after="120"/>
            </w:pPr>
            <w:r>
              <w:rPr>
                <w:rFonts w:eastAsia="Times New Roman" w:cs="Times New Roman"/>
                <w:color w:val="000000"/>
              </w:rPr>
              <w:t>11</w:t>
            </w:r>
          </w:p>
        </w:tc>
        <w:tc>
          <w:tcPr>
            <w:tcW w:w="2454" w:type="dxa"/>
            <w:gridSpan w:val="2"/>
            <w:vAlign w:val="center"/>
          </w:tcPr>
          <w:p w14:paraId="616157A0" w14:textId="2E8B82AF" w:rsidR="00125F1B" w:rsidRPr="003B7BCA" w:rsidRDefault="00B8298A" w:rsidP="00125F1B">
            <w:pPr>
              <w:tabs>
                <w:tab w:val="decimal" w:pos="1197"/>
              </w:tabs>
              <w:spacing w:before="120" w:after="120"/>
            </w:pPr>
            <w:r>
              <w:rPr>
                <w:rFonts w:eastAsia="Times New Roman" w:cs="Times New Roman"/>
                <w:color w:val="000000"/>
              </w:rPr>
              <w:t>5.8</w:t>
            </w:r>
          </w:p>
        </w:tc>
      </w:tr>
      <w:tr w:rsidR="00125F1B" w:rsidRPr="003B7BCA" w14:paraId="75EC1071" w14:textId="77777777" w:rsidTr="00801836">
        <w:tc>
          <w:tcPr>
            <w:tcW w:w="4209" w:type="dxa"/>
            <w:vAlign w:val="bottom"/>
          </w:tcPr>
          <w:p w14:paraId="2F8BF1DB" w14:textId="173B7FA8" w:rsidR="00125F1B" w:rsidRPr="003B7BCA" w:rsidRDefault="00125F1B" w:rsidP="00935724">
            <w:pPr>
              <w:spacing w:before="120" w:after="120"/>
            </w:pPr>
            <w:r w:rsidRPr="003B7BCA">
              <w:rPr>
                <w:rFonts w:eastAsia="Times New Roman" w:cs="Times New Roman"/>
                <w:color w:val="000000"/>
              </w:rPr>
              <w:t>Central I-5 Corridor (Eugene, Corvallis, Salem Areas)</w:t>
            </w:r>
          </w:p>
        </w:tc>
        <w:tc>
          <w:tcPr>
            <w:tcW w:w="2721" w:type="dxa"/>
            <w:vAlign w:val="center"/>
          </w:tcPr>
          <w:p w14:paraId="26CA193B" w14:textId="6D88DD96" w:rsidR="00125F1B" w:rsidRPr="003B7BCA" w:rsidRDefault="00B8298A" w:rsidP="00125F1B">
            <w:pPr>
              <w:tabs>
                <w:tab w:val="decimal" w:pos="1422"/>
              </w:tabs>
              <w:spacing w:before="120" w:after="120"/>
            </w:pPr>
            <w:r>
              <w:rPr>
                <w:rFonts w:eastAsia="Times New Roman" w:cs="Times New Roman"/>
                <w:color w:val="000000"/>
              </w:rPr>
              <w:t>56</w:t>
            </w:r>
          </w:p>
        </w:tc>
        <w:tc>
          <w:tcPr>
            <w:tcW w:w="2454" w:type="dxa"/>
            <w:gridSpan w:val="2"/>
            <w:vAlign w:val="center"/>
          </w:tcPr>
          <w:p w14:paraId="3236A887" w14:textId="4C05BFCD" w:rsidR="00125F1B" w:rsidRPr="003B7BCA" w:rsidRDefault="00B8298A" w:rsidP="00B8298A">
            <w:pPr>
              <w:tabs>
                <w:tab w:val="decimal" w:pos="1197"/>
              </w:tabs>
              <w:spacing w:before="120" w:after="120"/>
            </w:pPr>
            <w:r>
              <w:rPr>
                <w:rFonts w:eastAsia="Times New Roman" w:cs="Times New Roman"/>
                <w:color w:val="000000"/>
              </w:rPr>
              <w:t>29.1</w:t>
            </w:r>
          </w:p>
        </w:tc>
      </w:tr>
      <w:tr w:rsidR="00125F1B" w:rsidRPr="003B7BCA" w14:paraId="56AE09D2" w14:textId="77777777" w:rsidTr="00801836">
        <w:tc>
          <w:tcPr>
            <w:tcW w:w="4209" w:type="dxa"/>
            <w:vAlign w:val="bottom"/>
          </w:tcPr>
          <w:p w14:paraId="7C3FB13D" w14:textId="0193EFCD" w:rsidR="00125F1B" w:rsidRPr="003B7BCA" w:rsidRDefault="00125F1B" w:rsidP="00935724">
            <w:pPr>
              <w:spacing w:before="120" w:after="120"/>
            </w:pPr>
            <w:r w:rsidRPr="003B7BCA">
              <w:rPr>
                <w:rFonts w:eastAsia="Times New Roman" w:cs="Times New Roman"/>
                <w:color w:val="000000"/>
              </w:rPr>
              <w:t>Central Coast (Depoe Bay, Newport, Florence, Winchester Bay Areas)</w:t>
            </w:r>
          </w:p>
        </w:tc>
        <w:tc>
          <w:tcPr>
            <w:tcW w:w="2721" w:type="dxa"/>
            <w:vAlign w:val="center"/>
          </w:tcPr>
          <w:p w14:paraId="327F6A78" w14:textId="4C67ED09" w:rsidR="00125F1B" w:rsidRPr="003B7BCA" w:rsidRDefault="00801836" w:rsidP="00125F1B">
            <w:pPr>
              <w:tabs>
                <w:tab w:val="decimal" w:pos="1422"/>
              </w:tabs>
              <w:spacing w:before="120" w:after="120"/>
            </w:pPr>
            <w:r>
              <w:rPr>
                <w:rFonts w:eastAsia="Times New Roman" w:cs="Times New Roman"/>
                <w:color w:val="000000"/>
              </w:rPr>
              <w:t>2</w:t>
            </w:r>
          </w:p>
        </w:tc>
        <w:tc>
          <w:tcPr>
            <w:tcW w:w="2454" w:type="dxa"/>
            <w:gridSpan w:val="2"/>
            <w:vAlign w:val="center"/>
          </w:tcPr>
          <w:p w14:paraId="5D245A6E" w14:textId="509997CB" w:rsidR="00125F1B" w:rsidRPr="003B7BCA" w:rsidRDefault="00B8298A" w:rsidP="00125F1B">
            <w:pPr>
              <w:tabs>
                <w:tab w:val="decimal" w:pos="1197"/>
              </w:tabs>
              <w:spacing w:before="120" w:after="120"/>
            </w:pPr>
            <w:r>
              <w:rPr>
                <w:rFonts w:eastAsia="Times New Roman" w:cs="Times New Roman"/>
                <w:color w:val="000000"/>
              </w:rPr>
              <w:t>1.1</w:t>
            </w:r>
          </w:p>
        </w:tc>
      </w:tr>
      <w:tr w:rsidR="00125F1B" w:rsidRPr="003B7BCA" w14:paraId="34A2DF06" w14:textId="77777777" w:rsidTr="00801836">
        <w:trPr>
          <w:trHeight w:val="540"/>
        </w:trPr>
        <w:tc>
          <w:tcPr>
            <w:tcW w:w="4209" w:type="dxa"/>
            <w:vAlign w:val="bottom"/>
          </w:tcPr>
          <w:p w14:paraId="6DBBB1A6" w14:textId="30B50A7D" w:rsidR="00125F1B" w:rsidRPr="003B7BCA" w:rsidRDefault="00125F1B" w:rsidP="00935724">
            <w:pPr>
              <w:spacing w:before="120" w:after="120"/>
            </w:pPr>
            <w:r w:rsidRPr="003B7BCA">
              <w:rPr>
                <w:rFonts w:eastAsia="Times New Roman" w:cs="Times New Roman"/>
                <w:color w:val="000000"/>
              </w:rPr>
              <w:t>Southeast (Burns Area)</w:t>
            </w:r>
          </w:p>
        </w:tc>
        <w:tc>
          <w:tcPr>
            <w:tcW w:w="2721" w:type="dxa"/>
            <w:vAlign w:val="center"/>
          </w:tcPr>
          <w:p w14:paraId="549B30E1" w14:textId="1C4DA16A" w:rsidR="00125F1B" w:rsidRPr="003B7BCA" w:rsidRDefault="00B8298A" w:rsidP="00125F1B">
            <w:pPr>
              <w:tabs>
                <w:tab w:val="decimal" w:pos="1422"/>
              </w:tabs>
              <w:spacing w:before="120" w:after="120"/>
            </w:pPr>
            <w:r>
              <w:rPr>
                <w:rFonts w:eastAsia="Times New Roman" w:cs="Times New Roman"/>
                <w:color w:val="000000"/>
              </w:rPr>
              <w:t>1</w:t>
            </w:r>
          </w:p>
        </w:tc>
        <w:tc>
          <w:tcPr>
            <w:tcW w:w="2454" w:type="dxa"/>
            <w:gridSpan w:val="2"/>
            <w:vAlign w:val="center"/>
          </w:tcPr>
          <w:p w14:paraId="60AF0014" w14:textId="5FD71AB3" w:rsidR="00125F1B" w:rsidRPr="003B7BCA" w:rsidRDefault="00B8298A" w:rsidP="00125F1B">
            <w:pPr>
              <w:tabs>
                <w:tab w:val="decimal" w:pos="1197"/>
              </w:tabs>
              <w:spacing w:before="120" w:after="120"/>
            </w:pPr>
            <w:r>
              <w:rPr>
                <w:rFonts w:eastAsia="Times New Roman" w:cs="Times New Roman"/>
                <w:color w:val="000000"/>
              </w:rPr>
              <w:t>0.5</w:t>
            </w:r>
          </w:p>
        </w:tc>
      </w:tr>
      <w:tr w:rsidR="00125F1B" w:rsidRPr="003B7BCA" w14:paraId="6323E0F7" w14:textId="77777777" w:rsidTr="00801836">
        <w:tc>
          <w:tcPr>
            <w:tcW w:w="4209" w:type="dxa"/>
            <w:vAlign w:val="bottom"/>
          </w:tcPr>
          <w:p w14:paraId="6752C843" w14:textId="7EA0DD1C" w:rsidR="00125F1B" w:rsidRPr="003B7BCA" w:rsidRDefault="00125F1B" w:rsidP="00935724">
            <w:pPr>
              <w:spacing w:before="120" w:after="120"/>
            </w:pPr>
            <w:r w:rsidRPr="003B7BCA">
              <w:rPr>
                <w:rFonts w:eastAsia="Times New Roman" w:cs="Times New Roman"/>
                <w:color w:val="000000"/>
              </w:rPr>
              <w:t>South I-5 Corridor (Roseburg, Grants Pass, Medford Ashland Areas)</w:t>
            </w:r>
          </w:p>
        </w:tc>
        <w:tc>
          <w:tcPr>
            <w:tcW w:w="2721" w:type="dxa"/>
            <w:vAlign w:val="center"/>
          </w:tcPr>
          <w:p w14:paraId="6DD99F6F" w14:textId="5CC2055A" w:rsidR="00125F1B" w:rsidRPr="003B7BCA" w:rsidRDefault="00801836" w:rsidP="00125F1B">
            <w:pPr>
              <w:tabs>
                <w:tab w:val="decimal" w:pos="1422"/>
              </w:tabs>
              <w:spacing w:before="120" w:after="120"/>
            </w:pPr>
            <w:r>
              <w:rPr>
                <w:rFonts w:eastAsia="Times New Roman" w:cs="Times New Roman"/>
                <w:color w:val="000000"/>
              </w:rPr>
              <w:t>1</w:t>
            </w:r>
            <w:r w:rsidR="00B8298A">
              <w:rPr>
                <w:rFonts w:eastAsia="Times New Roman" w:cs="Times New Roman"/>
                <w:color w:val="000000"/>
              </w:rPr>
              <w:t>4</w:t>
            </w:r>
          </w:p>
        </w:tc>
        <w:tc>
          <w:tcPr>
            <w:tcW w:w="2454" w:type="dxa"/>
            <w:gridSpan w:val="2"/>
            <w:vAlign w:val="center"/>
          </w:tcPr>
          <w:p w14:paraId="50C65125" w14:textId="1C448A7C" w:rsidR="00125F1B" w:rsidRPr="003B7BCA" w:rsidRDefault="00B8298A" w:rsidP="00125F1B">
            <w:pPr>
              <w:tabs>
                <w:tab w:val="decimal" w:pos="1197"/>
              </w:tabs>
              <w:spacing w:before="120" w:after="120"/>
            </w:pPr>
            <w:r>
              <w:rPr>
                <w:rFonts w:eastAsia="Times New Roman" w:cs="Times New Roman"/>
                <w:color w:val="000000"/>
              </w:rPr>
              <w:t>7.4</w:t>
            </w:r>
          </w:p>
        </w:tc>
      </w:tr>
      <w:tr w:rsidR="00125F1B" w:rsidRPr="003B7BCA" w14:paraId="3A55B7AC" w14:textId="77777777" w:rsidTr="00801836">
        <w:tc>
          <w:tcPr>
            <w:tcW w:w="4209" w:type="dxa"/>
            <w:vAlign w:val="bottom"/>
          </w:tcPr>
          <w:p w14:paraId="727A4C7A" w14:textId="0E868763" w:rsidR="00125F1B" w:rsidRPr="003B7BCA" w:rsidRDefault="00125F1B" w:rsidP="00935724">
            <w:pPr>
              <w:spacing w:before="120" w:after="120"/>
            </w:pPr>
            <w:r w:rsidRPr="003B7BCA">
              <w:rPr>
                <w:rFonts w:eastAsia="Times New Roman" w:cs="Times New Roman"/>
                <w:color w:val="000000"/>
              </w:rPr>
              <w:t>South Coast (Bandon, Port Orford, Brookings Areas)</w:t>
            </w:r>
          </w:p>
        </w:tc>
        <w:tc>
          <w:tcPr>
            <w:tcW w:w="2721" w:type="dxa"/>
            <w:vAlign w:val="center"/>
          </w:tcPr>
          <w:p w14:paraId="58D4E1F9" w14:textId="2C632314" w:rsidR="00125F1B" w:rsidRPr="003B7BCA" w:rsidRDefault="00B8298A" w:rsidP="00125F1B">
            <w:pPr>
              <w:tabs>
                <w:tab w:val="decimal" w:pos="1422"/>
              </w:tabs>
              <w:spacing w:before="120" w:after="120"/>
            </w:pPr>
            <w:r>
              <w:rPr>
                <w:rFonts w:eastAsia="Times New Roman" w:cs="Times New Roman"/>
                <w:color w:val="000000"/>
              </w:rPr>
              <w:t>6</w:t>
            </w:r>
          </w:p>
        </w:tc>
        <w:tc>
          <w:tcPr>
            <w:tcW w:w="2454" w:type="dxa"/>
            <w:gridSpan w:val="2"/>
            <w:vAlign w:val="center"/>
          </w:tcPr>
          <w:p w14:paraId="79EDFED2" w14:textId="78458F7C" w:rsidR="00125F1B" w:rsidRPr="003B7BCA" w:rsidRDefault="00B8298A" w:rsidP="00B8298A">
            <w:pPr>
              <w:tabs>
                <w:tab w:val="decimal" w:pos="1197"/>
              </w:tabs>
              <w:spacing w:before="120" w:after="120"/>
            </w:pPr>
            <w:r>
              <w:rPr>
                <w:rFonts w:eastAsia="Times New Roman" w:cs="Times New Roman"/>
                <w:color w:val="000000"/>
              </w:rPr>
              <w:t>3.2</w:t>
            </w:r>
          </w:p>
        </w:tc>
      </w:tr>
      <w:tr w:rsidR="00125F1B" w:rsidRPr="003B7BCA" w14:paraId="497A3210" w14:textId="77777777" w:rsidTr="00801836">
        <w:tc>
          <w:tcPr>
            <w:tcW w:w="4209" w:type="dxa"/>
            <w:tcBorders>
              <w:bottom w:val="single" w:sz="8" w:space="0" w:color="auto"/>
            </w:tcBorders>
          </w:tcPr>
          <w:p w14:paraId="11EC0F2C" w14:textId="77777777" w:rsidR="00125F1B" w:rsidRPr="003B7BCA" w:rsidRDefault="00125F1B" w:rsidP="00935724">
            <w:pPr>
              <w:spacing w:before="120" w:after="120"/>
            </w:pPr>
            <w:r w:rsidRPr="003B7BCA">
              <w:t>Total</w:t>
            </w:r>
          </w:p>
        </w:tc>
        <w:tc>
          <w:tcPr>
            <w:tcW w:w="2721" w:type="dxa"/>
            <w:tcBorders>
              <w:bottom w:val="single" w:sz="8" w:space="0" w:color="auto"/>
            </w:tcBorders>
            <w:vAlign w:val="center"/>
          </w:tcPr>
          <w:p w14:paraId="280EB47F" w14:textId="2A308940" w:rsidR="00125F1B" w:rsidRPr="003B7BCA" w:rsidRDefault="00801836" w:rsidP="00125F1B">
            <w:pPr>
              <w:tabs>
                <w:tab w:val="decimal" w:pos="1422"/>
              </w:tabs>
              <w:spacing w:before="120" w:after="120"/>
            </w:pPr>
            <w:r>
              <w:rPr>
                <w:rFonts w:eastAsia="Times New Roman" w:cs="Times New Roman"/>
                <w:color w:val="000000"/>
              </w:rPr>
              <w:t>1</w:t>
            </w:r>
            <w:r w:rsidR="0044259D">
              <w:rPr>
                <w:rFonts w:eastAsia="Times New Roman" w:cs="Times New Roman"/>
                <w:color w:val="000000"/>
              </w:rPr>
              <w:t>91</w:t>
            </w:r>
          </w:p>
        </w:tc>
        <w:tc>
          <w:tcPr>
            <w:tcW w:w="2454" w:type="dxa"/>
            <w:gridSpan w:val="2"/>
            <w:tcBorders>
              <w:bottom w:val="single" w:sz="8" w:space="0" w:color="auto"/>
            </w:tcBorders>
            <w:vAlign w:val="center"/>
          </w:tcPr>
          <w:p w14:paraId="572F37BD" w14:textId="10B31D08" w:rsidR="00125F1B" w:rsidRPr="003B7BCA" w:rsidRDefault="00125F1B" w:rsidP="00801836">
            <w:pPr>
              <w:tabs>
                <w:tab w:val="decimal" w:pos="1197"/>
              </w:tabs>
              <w:spacing w:before="120" w:after="120"/>
              <w:ind w:firstLine="966"/>
            </w:pPr>
            <w:r w:rsidRPr="003B7BCA">
              <w:rPr>
                <w:rFonts w:eastAsia="Times New Roman" w:cs="Times New Roman"/>
                <w:color w:val="000000"/>
              </w:rPr>
              <w:t>100</w:t>
            </w:r>
          </w:p>
        </w:tc>
      </w:tr>
    </w:tbl>
    <w:p w14:paraId="225DE599" w14:textId="3FDA9A30" w:rsidR="00125F1B" w:rsidRDefault="00125F1B"/>
    <w:p w14:paraId="2C2F7AE0" w14:textId="77777777" w:rsidR="0044259D" w:rsidRPr="003B7BCA" w:rsidRDefault="00442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3123"/>
        <w:gridCol w:w="3136"/>
      </w:tblGrid>
      <w:tr w:rsidR="003B4D07" w:rsidRPr="003B7BCA" w14:paraId="58C9432C" w14:textId="77777777" w:rsidTr="00935724">
        <w:tc>
          <w:tcPr>
            <w:tcW w:w="9576" w:type="dxa"/>
            <w:gridSpan w:val="3"/>
          </w:tcPr>
          <w:p w14:paraId="43D4E105" w14:textId="53ACAC61" w:rsidR="003B4D07" w:rsidRPr="003B7BCA" w:rsidRDefault="003B4D07" w:rsidP="003B4D07">
            <w:r w:rsidRPr="003B7BCA">
              <w:t>Table 5</w:t>
            </w:r>
          </w:p>
        </w:tc>
      </w:tr>
      <w:tr w:rsidR="003B4D07" w:rsidRPr="003B7BCA" w14:paraId="20B81336" w14:textId="77777777" w:rsidTr="00935724">
        <w:tc>
          <w:tcPr>
            <w:tcW w:w="9576" w:type="dxa"/>
            <w:gridSpan w:val="3"/>
            <w:tcBorders>
              <w:bottom w:val="single" w:sz="8" w:space="0" w:color="auto"/>
            </w:tcBorders>
          </w:tcPr>
          <w:p w14:paraId="3C22DE54" w14:textId="590A964B" w:rsidR="003B4D07" w:rsidRPr="003B7BCA" w:rsidRDefault="003B4D07" w:rsidP="00935724">
            <w:pPr>
              <w:spacing w:before="120" w:after="120"/>
              <w:rPr>
                <w:i/>
              </w:rPr>
            </w:pPr>
            <w:r w:rsidRPr="003B7BCA">
              <w:rPr>
                <w:i/>
              </w:rPr>
              <w:t>Educational roles for the 201</w:t>
            </w:r>
            <w:r w:rsidR="00B8298A">
              <w:rPr>
                <w:i/>
              </w:rPr>
              <w:t>8</w:t>
            </w:r>
            <w:r w:rsidRPr="003B7BCA">
              <w:rPr>
                <w:i/>
              </w:rPr>
              <w:t>-201</w:t>
            </w:r>
            <w:r w:rsidR="00B8298A">
              <w:rPr>
                <w:i/>
              </w:rPr>
              <w:t>9</w:t>
            </w:r>
            <w:r w:rsidRPr="003B7BCA">
              <w:rPr>
                <w:i/>
              </w:rPr>
              <w:t xml:space="preserve"> survey sample</w:t>
            </w:r>
          </w:p>
        </w:tc>
      </w:tr>
      <w:tr w:rsidR="003B4D07" w:rsidRPr="003B7BCA" w14:paraId="5219D67E" w14:textId="77777777" w:rsidTr="00935724">
        <w:tc>
          <w:tcPr>
            <w:tcW w:w="3192" w:type="dxa"/>
            <w:tcBorders>
              <w:top w:val="single" w:sz="8" w:space="0" w:color="auto"/>
              <w:bottom w:val="single" w:sz="8" w:space="0" w:color="auto"/>
            </w:tcBorders>
          </w:tcPr>
          <w:p w14:paraId="50C5B829" w14:textId="77777777" w:rsidR="003B4D07" w:rsidRPr="003B7BCA" w:rsidRDefault="003B4D07" w:rsidP="00935724">
            <w:pPr>
              <w:spacing w:before="120" w:after="120"/>
            </w:pPr>
            <w:r w:rsidRPr="003B7BCA">
              <w:t>Years Experience</w:t>
            </w:r>
          </w:p>
        </w:tc>
        <w:tc>
          <w:tcPr>
            <w:tcW w:w="3192" w:type="dxa"/>
            <w:tcBorders>
              <w:top w:val="single" w:sz="8" w:space="0" w:color="auto"/>
              <w:bottom w:val="single" w:sz="8" w:space="0" w:color="auto"/>
            </w:tcBorders>
          </w:tcPr>
          <w:p w14:paraId="4C36E9EA" w14:textId="121C60C7" w:rsidR="003B4D07" w:rsidRPr="003B7BCA" w:rsidRDefault="003B4D07" w:rsidP="00935724">
            <w:pPr>
              <w:spacing w:before="120" w:after="120"/>
              <w:jc w:val="center"/>
            </w:pPr>
            <w:r w:rsidRPr="003B7BCA">
              <w:rPr>
                <w:i/>
              </w:rPr>
              <w:t>n</w:t>
            </w:r>
          </w:p>
        </w:tc>
        <w:tc>
          <w:tcPr>
            <w:tcW w:w="3192" w:type="dxa"/>
            <w:tcBorders>
              <w:top w:val="single" w:sz="8" w:space="0" w:color="auto"/>
              <w:bottom w:val="single" w:sz="8" w:space="0" w:color="auto"/>
            </w:tcBorders>
          </w:tcPr>
          <w:p w14:paraId="71B89ADC" w14:textId="77777777" w:rsidR="003B4D07" w:rsidRPr="003B7BCA" w:rsidRDefault="003B4D07" w:rsidP="00935724">
            <w:pPr>
              <w:spacing w:before="120" w:after="120"/>
              <w:jc w:val="center"/>
              <w:rPr>
                <w:i/>
              </w:rPr>
            </w:pPr>
            <w:r w:rsidRPr="003B7BCA">
              <w:rPr>
                <w:i/>
              </w:rPr>
              <w:t>%</w:t>
            </w:r>
          </w:p>
        </w:tc>
      </w:tr>
      <w:tr w:rsidR="003B4D07" w:rsidRPr="003B7BCA" w14:paraId="2ECCAA78" w14:textId="77777777" w:rsidTr="00935724">
        <w:tc>
          <w:tcPr>
            <w:tcW w:w="3192" w:type="dxa"/>
          </w:tcPr>
          <w:p w14:paraId="79037EEB" w14:textId="1F2C7886" w:rsidR="003B4D07" w:rsidRPr="003B7BCA" w:rsidRDefault="003B4D07" w:rsidP="003B4D07">
            <w:pPr>
              <w:spacing w:before="120" w:after="120"/>
            </w:pPr>
            <w:r w:rsidRPr="003B7BCA">
              <w:t>ORExt qualified assessor</w:t>
            </w:r>
          </w:p>
        </w:tc>
        <w:tc>
          <w:tcPr>
            <w:tcW w:w="3192" w:type="dxa"/>
            <w:vAlign w:val="bottom"/>
          </w:tcPr>
          <w:p w14:paraId="1628EE4A" w14:textId="6C815C11" w:rsidR="003B4D07" w:rsidRPr="003B7BCA" w:rsidRDefault="00A0310B" w:rsidP="00935724">
            <w:pPr>
              <w:tabs>
                <w:tab w:val="decimal" w:pos="1578"/>
              </w:tabs>
              <w:spacing w:before="120" w:after="120"/>
            </w:pPr>
            <w:r>
              <w:rPr>
                <w:rFonts w:eastAsia="Times New Roman" w:cs="Times New Roman"/>
                <w:color w:val="000000"/>
              </w:rPr>
              <w:t>161</w:t>
            </w:r>
          </w:p>
        </w:tc>
        <w:tc>
          <w:tcPr>
            <w:tcW w:w="3192" w:type="dxa"/>
            <w:vAlign w:val="bottom"/>
          </w:tcPr>
          <w:p w14:paraId="3B4A5C88" w14:textId="69AE5A6F" w:rsidR="003B4D07" w:rsidRPr="003B7BCA" w:rsidRDefault="00FD34C7" w:rsidP="003B4D07">
            <w:pPr>
              <w:tabs>
                <w:tab w:val="decimal" w:pos="1626"/>
              </w:tabs>
              <w:spacing w:before="120" w:after="120"/>
            </w:pPr>
            <w:r>
              <w:rPr>
                <w:rFonts w:eastAsia="Times New Roman" w:cs="Times New Roman"/>
                <w:color w:val="000000"/>
              </w:rPr>
              <w:t>84.3</w:t>
            </w:r>
          </w:p>
        </w:tc>
      </w:tr>
      <w:tr w:rsidR="003B4D07" w:rsidRPr="003B7BCA" w14:paraId="39175F00" w14:textId="77777777" w:rsidTr="00935724">
        <w:tc>
          <w:tcPr>
            <w:tcW w:w="3192" w:type="dxa"/>
          </w:tcPr>
          <w:p w14:paraId="7CB487FF" w14:textId="65284B49" w:rsidR="003B4D07" w:rsidRPr="003B7BCA" w:rsidRDefault="003B4D07" w:rsidP="003B4D07">
            <w:pPr>
              <w:spacing w:before="120" w:after="120"/>
            </w:pPr>
            <w:r w:rsidRPr="003B7BCA">
              <w:t>ORExt qualified trainer</w:t>
            </w:r>
          </w:p>
        </w:tc>
        <w:tc>
          <w:tcPr>
            <w:tcW w:w="3192" w:type="dxa"/>
            <w:vAlign w:val="bottom"/>
          </w:tcPr>
          <w:p w14:paraId="34D229A3" w14:textId="10C7E3E0" w:rsidR="003B4D07" w:rsidRPr="003B7BCA" w:rsidRDefault="00A0310B" w:rsidP="00935724">
            <w:pPr>
              <w:tabs>
                <w:tab w:val="decimal" w:pos="1578"/>
              </w:tabs>
              <w:spacing w:before="120" w:after="120"/>
            </w:pPr>
            <w:r>
              <w:rPr>
                <w:rFonts w:eastAsia="Times New Roman" w:cs="Times New Roman"/>
                <w:color w:val="000000"/>
              </w:rPr>
              <w:t>30</w:t>
            </w:r>
          </w:p>
        </w:tc>
        <w:tc>
          <w:tcPr>
            <w:tcW w:w="3192" w:type="dxa"/>
            <w:vAlign w:val="bottom"/>
          </w:tcPr>
          <w:p w14:paraId="7D94308C" w14:textId="30FA4B3A" w:rsidR="003B4D07" w:rsidRPr="003B7BCA" w:rsidRDefault="00FD34C7" w:rsidP="003B4D07">
            <w:pPr>
              <w:tabs>
                <w:tab w:val="decimal" w:pos="1626"/>
              </w:tabs>
              <w:spacing w:before="120" w:after="120"/>
            </w:pPr>
            <w:r>
              <w:rPr>
                <w:rFonts w:eastAsia="Times New Roman" w:cs="Times New Roman"/>
                <w:color w:val="000000"/>
              </w:rPr>
              <w:t>15.7</w:t>
            </w:r>
          </w:p>
        </w:tc>
      </w:tr>
      <w:tr w:rsidR="003B4D07" w:rsidRPr="003B7BCA" w14:paraId="4DFFEBA4" w14:textId="77777777" w:rsidTr="00935724">
        <w:tc>
          <w:tcPr>
            <w:tcW w:w="3192" w:type="dxa"/>
            <w:tcBorders>
              <w:bottom w:val="single" w:sz="8" w:space="0" w:color="auto"/>
            </w:tcBorders>
          </w:tcPr>
          <w:p w14:paraId="5F991B91" w14:textId="77777777" w:rsidR="003B4D07" w:rsidRPr="003B7BCA" w:rsidRDefault="003B4D07" w:rsidP="00935724">
            <w:pPr>
              <w:spacing w:before="120" w:after="120"/>
            </w:pPr>
            <w:r w:rsidRPr="003B7BCA">
              <w:t>Total</w:t>
            </w:r>
          </w:p>
        </w:tc>
        <w:tc>
          <w:tcPr>
            <w:tcW w:w="3192" w:type="dxa"/>
            <w:tcBorders>
              <w:bottom w:val="single" w:sz="8" w:space="0" w:color="auto"/>
            </w:tcBorders>
            <w:vAlign w:val="bottom"/>
          </w:tcPr>
          <w:p w14:paraId="0FC368EA" w14:textId="1FD41F32" w:rsidR="003B4D07" w:rsidRPr="003B7BCA" w:rsidRDefault="00D64A59" w:rsidP="00935724">
            <w:pPr>
              <w:tabs>
                <w:tab w:val="decimal" w:pos="1578"/>
              </w:tabs>
              <w:spacing w:before="120" w:after="120"/>
            </w:pPr>
            <w:r>
              <w:rPr>
                <w:rFonts w:eastAsia="Times New Roman" w:cs="Times New Roman"/>
                <w:color w:val="000000"/>
              </w:rPr>
              <w:t>1</w:t>
            </w:r>
            <w:r w:rsidR="0044259D">
              <w:rPr>
                <w:rFonts w:eastAsia="Times New Roman" w:cs="Times New Roman"/>
                <w:color w:val="000000"/>
              </w:rPr>
              <w:t>91</w:t>
            </w:r>
          </w:p>
        </w:tc>
        <w:tc>
          <w:tcPr>
            <w:tcW w:w="3192" w:type="dxa"/>
            <w:tcBorders>
              <w:bottom w:val="single" w:sz="8" w:space="0" w:color="auto"/>
            </w:tcBorders>
            <w:vAlign w:val="bottom"/>
          </w:tcPr>
          <w:p w14:paraId="569C8750" w14:textId="69DEB0EF" w:rsidR="003B4D07" w:rsidRPr="003B7BCA" w:rsidRDefault="003B4D07" w:rsidP="00D47730">
            <w:pPr>
              <w:tabs>
                <w:tab w:val="decimal" w:pos="1854"/>
              </w:tabs>
              <w:spacing w:before="120" w:after="120"/>
            </w:pPr>
            <w:r w:rsidRPr="003B7BCA">
              <w:rPr>
                <w:rFonts w:eastAsia="Times New Roman" w:cs="Times New Roman"/>
                <w:color w:val="000000"/>
              </w:rPr>
              <w:t>100</w:t>
            </w:r>
          </w:p>
        </w:tc>
      </w:tr>
    </w:tbl>
    <w:p w14:paraId="4ED6A7EA" w14:textId="77777777" w:rsidR="00A94A45" w:rsidRDefault="00A94A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E60AB" w:rsidRPr="003B7BCA" w14:paraId="1BFB18C0" w14:textId="77777777" w:rsidTr="00A24614">
        <w:tc>
          <w:tcPr>
            <w:tcW w:w="9576" w:type="dxa"/>
          </w:tcPr>
          <w:p w14:paraId="05795D40" w14:textId="0991F40B" w:rsidR="004E60AB" w:rsidRPr="003B7BCA" w:rsidRDefault="004E60AB" w:rsidP="00710BD3">
            <w:pPr>
              <w:spacing w:line="360" w:lineRule="auto"/>
            </w:pPr>
            <w:r w:rsidRPr="003B7BCA">
              <w:lastRenderedPageBreak/>
              <w:t xml:space="preserve">Table </w:t>
            </w:r>
            <w:r w:rsidR="00AF4092">
              <w:t>6</w:t>
            </w:r>
          </w:p>
        </w:tc>
      </w:tr>
      <w:tr w:rsidR="004E60AB" w:rsidRPr="003B7BCA" w14:paraId="61BB1296" w14:textId="77777777" w:rsidTr="00A24614">
        <w:tc>
          <w:tcPr>
            <w:tcW w:w="9576" w:type="dxa"/>
            <w:tcBorders>
              <w:bottom w:val="single" w:sz="4" w:space="0" w:color="auto"/>
            </w:tcBorders>
          </w:tcPr>
          <w:p w14:paraId="0AF12F95" w14:textId="46AED294" w:rsidR="004E60AB" w:rsidRPr="003B7BCA" w:rsidRDefault="00566F80" w:rsidP="00566F80">
            <w:pPr>
              <w:spacing w:line="360" w:lineRule="auto"/>
              <w:rPr>
                <w:i/>
              </w:rPr>
            </w:pPr>
            <w:r w:rsidRPr="003B7BCA">
              <w:rPr>
                <w:i/>
              </w:rPr>
              <w:t>Quantitative and Qualitative Items for the 201</w:t>
            </w:r>
            <w:r w:rsidR="00B8298A">
              <w:rPr>
                <w:i/>
              </w:rPr>
              <w:t>8</w:t>
            </w:r>
            <w:r w:rsidRPr="003B7BCA">
              <w:rPr>
                <w:i/>
              </w:rPr>
              <w:t>-201</w:t>
            </w:r>
            <w:r w:rsidR="00B8298A">
              <w:rPr>
                <w:i/>
              </w:rPr>
              <w:t>9</w:t>
            </w:r>
            <w:r w:rsidRPr="003B7BCA">
              <w:rPr>
                <w:i/>
              </w:rPr>
              <w:t>ORExt Consequential Validity Survey</w:t>
            </w:r>
          </w:p>
        </w:tc>
      </w:tr>
      <w:tr w:rsidR="00566F80" w:rsidRPr="003B7BCA" w14:paraId="156F5FD6" w14:textId="77777777" w:rsidTr="00A24614">
        <w:tc>
          <w:tcPr>
            <w:tcW w:w="9576" w:type="dxa"/>
            <w:tcBorders>
              <w:top w:val="single" w:sz="4" w:space="0" w:color="auto"/>
              <w:bottom w:val="single" w:sz="4" w:space="0" w:color="auto"/>
            </w:tcBorders>
          </w:tcPr>
          <w:p w14:paraId="3C7952EF" w14:textId="722E0808" w:rsidR="00566F80" w:rsidRPr="003B7BCA" w:rsidRDefault="00566F80" w:rsidP="001A3427">
            <w:pPr>
              <w:spacing w:before="120" w:after="120"/>
              <w:rPr>
                <w:i/>
              </w:rPr>
            </w:pPr>
            <w:r w:rsidRPr="003B7BCA">
              <w:t>Survey item</w:t>
            </w:r>
          </w:p>
        </w:tc>
      </w:tr>
      <w:tr w:rsidR="00D15A52" w:rsidRPr="003B7BCA" w14:paraId="1FDBF2C7" w14:textId="77777777" w:rsidTr="00A24614">
        <w:tc>
          <w:tcPr>
            <w:tcW w:w="9576" w:type="dxa"/>
            <w:tcBorders>
              <w:top w:val="single" w:sz="4" w:space="0" w:color="auto"/>
            </w:tcBorders>
          </w:tcPr>
          <w:p w14:paraId="5FBE3AA0" w14:textId="342E1148" w:rsidR="00D15A52" w:rsidRPr="00B8298A" w:rsidRDefault="00B16863" w:rsidP="00B8298A">
            <w:pPr>
              <w:pStyle w:val="ListParagraph"/>
              <w:numPr>
                <w:ilvl w:val="0"/>
                <w:numId w:val="17"/>
              </w:numPr>
              <w:spacing w:before="120" w:after="120"/>
              <w:rPr>
                <w:color w:val="000000"/>
              </w:rPr>
            </w:pPr>
            <w:r w:rsidRPr="00B8298A">
              <w:rPr>
                <w:color w:val="000000"/>
              </w:rPr>
              <w:t>The items in the Oregon Extended Assessment were easy</w:t>
            </w:r>
            <w:r w:rsidR="006F362E" w:rsidRPr="00B8298A">
              <w:rPr>
                <w:color w:val="000000"/>
              </w:rPr>
              <w:t xml:space="preserve"> for me</w:t>
            </w:r>
            <w:r w:rsidRPr="00B8298A">
              <w:rPr>
                <w:color w:val="000000"/>
              </w:rPr>
              <w:t xml:space="preserve"> to administer and score.</w:t>
            </w:r>
          </w:p>
        </w:tc>
      </w:tr>
      <w:tr w:rsidR="00D15A52" w:rsidRPr="003B7BCA" w14:paraId="6C314A72" w14:textId="77777777" w:rsidTr="00A24614">
        <w:tc>
          <w:tcPr>
            <w:tcW w:w="9576" w:type="dxa"/>
          </w:tcPr>
          <w:p w14:paraId="13B0441A" w14:textId="08725A94" w:rsidR="00D15A52" w:rsidRPr="00B35A53" w:rsidRDefault="00D24B40" w:rsidP="000772B6">
            <w:pPr>
              <w:pStyle w:val="ListParagraph"/>
              <w:numPr>
                <w:ilvl w:val="0"/>
                <w:numId w:val="17"/>
              </w:numPr>
              <w:spacing w:before="120" w:after="120"/>
              <w:contextualSpacing w:val="0"/>
            </w:pPr>
            <w:r w:rsidRPr="00B35A53">
              <w:rPr>
                <w:color w:val="000000"/>
              </w:rPr>
              <w:t>The items in the Oregon Extended Assessment were accessible for my students with significant cognitive disabilities</w:t>
            </w:r>
            <w:r w:rsidR="006F362E" w:rsidRPr="00B35A53">
              <w:rPr>
                <w:color w:val="000000"/>
              </w:rPr>
              <w:t xml:space="preserve"> (SWSCD).</w:t>
            </w:r>
          </w:p>
        </w:tc>
      </w:tr>
      <w:tr w:rsidR="00D15A52" w:rsidRPr="003B7BCA" w14:paraId="1191B616" w14:textId="77777777" w:rsidTr="00A24614">
        <w:tc>
          <w:tcPr>
            <w:tcW w:w="9576" w:type="dxa"/>
          </w:tcPr>
          <w:p w14:paraId="00ECA565" w14:textId="43F2C8E4" w:rsidR="00D15A52" w:rsidRPr="00B35A53" w:rsidRDefault="00D24B40" w:rsidP="000772B6">
            <w:pPr>
              <w:pStyle w:val="ListParagraph"/>
              <w:numPr>
                <w:ilvl w:val="0"/>
                <w:numId w:val="17"/>
              </w:numPr>
              <w:spacing w:before="120" w:after="120"/>
              <w:contextualSpacing w:val="0"/>
              <w:rPr>
                <w:rFonts w:eastAsiaTheme="majorEastAsia" w:cstheme="majorBidi"/>
                <w:bCs/>
                <w:iCs/>
                <w:color w:val="404040" w:themeColor="text1" w:themeTint="BF"/>
              </w:rPr>
            </w:pPr>
            <w:r w:rsidRPr="00B35A53">
              <w:rPr>
                <w:color w:val="000000"/>
              </w:rPr>
              <w:t xml:space="preserve">The items in the Oregon Extended Assessment accurately reflect the </w:t>
            </w:r>
            <w:r w:rsidRPr="000772B6">
              <w:rPr>
                <w:color w:val="000000"/>
                <w:u w:val="single"/>
              </w:rPr>
              <w:t>academic content</w:t>
            </w:r>
            <w:r w:rsidR="00252393" w:rsidRPr="00B35A53">
              <w:rPr>
                <w:color w:val="000000"/>
              </w:rPr>
              <w:t xml:space="preserve"> </w:t>
            </w:r>
            <w:r w:rsidR="00BC3A08">
              <w:rPr>
                <w:color w:val="000000"/>
              </w:rPr>
              <w:t xml:space="preserve">(what the student should know) </w:t>
            </w:r>
            <w:r w:rsidRPr="00B35A53">
              <w:rPr>
                <w:color w:val="000000"/>
              </w:rPr>
              <w:t xml:space="preserve">that my students with significant cognitive disabilities </w:t>
            </w:r>
            <w:r w:rsidR="000772B6">
              <w:rPr>
                <w:color w:val="000000"/>
              </w:rPr>
              <w:t>should be learning, as defined by grade level content standards (CCSS/NGSS) and the Essentialized Assessment Frameworks.</w:t>
            </w:r>
          </w:p>
        </w:tc>
      </w:tr>
      <w:tr w:rsidR="000772B6" w:rsidRPr="003B7BCA" w14:paraId="1C994A35" w14:textId="77777777" w:rsidTr="00A24614">
        <w:tc>
          <w:tcPr>
            <w:tcW w:w="9576" w:type="dxa"/>
          </w:tcPr>
          <w:p w14:paraId="0320CE5C" w14:textId="010BF3A4" w:rsidR="000772B6" w:rsidRPr="00B35A53" w:rsidRDefault="002A54AF" w:rsidP="000772B6">
            <w:pPr>
              <w:pStyle w:val="ListParagraph"/>
              <w:numPr>
                <w:ilvl w:val="0"/>
                <w:numId w:val="17"/>
              </w:numPr>
              <w:spacing w:before="120" w:after="120"/>
              <w:contextualSpacing w:val="0"/>
              <w:rPr>
                <w:color w:val="000000"/>
              </w:rPr>
            </w:pPr>
            <w:r>
              <w:rPr>
                <w:color w:val="000000"/>
              </w:rPr>
              <w:t>The items in the Oregon Extended Assessment, which primarily ask students to match, identify, or recognize academic content, are appropriate behaviors to review to determine what my students with significant cognitive disabilities are able to do.</w:t>
            </w:r>
          </w:p>
        </w:tc>
      </w:tr>
      <w:tr w:rsidR="008D6FAC" w:rsidRPr="003B7BCA" w14:paraId="2510B16B" w14:textId="77777777" w:rsidTr="00A24614">
        <w:tc>
          <w:tcPr>
            <w:tcW w:w="9576" w:type="dxa"/>
          </w:tcPr>
          <w:p w14:paraId="2D9415AF" w14:textId="6E7ED8A2" w:rsidR="008D6FAC" w:rsidRPr="00E444AC" w:rsidRDefault="00A2463F" w:rsidP="00E444AC">
            <w:pPr>
              <w:pStyle w:val="ListParagraph"/>
              <w:numPr>
                <w:ilvl w:val="0"/>
                <w:numId w:val="17"/>
              </w:numPr>
              <w:spacing w:before="120" w:after="120"/>
              <w:contextualSpacing w:val="0"/>
              <w:rPr>
                <w:color w:val="000000"/>
              </w:rPr>
            </w:pPr>
            <w:r>
              <w:rPr>
                <w:color w:val="000000"/>
              </w:rPr>
              <w:t>I have the curricula I need to teach academic skills that are aligned to the Essentialized Assessment Frameworks for my students who take the Oregon Extended Assessment</w:t>
            </w:r>
            <w:r w:rsidR="00E444AC">
              <w:rPr>
                <w:color w:val="000000"/>
              </w:rPr>
              <w:t>.</w:t>
            </w:r>
          </w:p>
        </w:tc>
      </w:tr>
      <w:tr w:rsidR="00E444AC" w:rsidRPr="003B7BCA" w14:paraId="33B2848A" w14:textId="77777777" w:rsidTr="00A24614">
        <w:tc>
          <w:tcPr>
            <w:tcW w:w="9576" w:type="dxa"/>
          </w:tcPr>
          <w:p w14:paraId="5AF63DED" w14:textId="49E5B049" w:rsidR="00E444AC" w:rsidRPr="00E444AC" w:rsidRDefault="006B6A32" w:rsidP="00E444AC">
            <w:pPr>
              <w:pStyle w:val="ListParagraph"/>
              <w:numPr>
                <w:ilvl w:val="0"/>
                <w:numId w:val="17"/>
              </w:numPr>
              <w:spacing w:before="120" w:after="120"/>
              <w:contextualSpacing w:val="0"/>
              <w:rPr>
                <w:color w:val="000000"/>
              </w:rPr>
            </w:pPr>
            <w:r>
              <w:rPr>
                <w:color w:val="000000"/>
              </w:rPr>
              <w:t>I feel confident in interpreting the scores and their respective achievement level descriptors published for the Oregon Extended Assessments.</w:t>
            </w:r>
          </w:p>
        </w:tc>
      </w:tr>
      <w:tr w:rsidR="00D24B40" w:rsidRPr="003B7BCA" w14:paraId="485CF580" w14:textId="77777777" w:rsidTr="00A24614">
        <w:tc>
          <w:tcPr>
            <w:tcW w:w="9576" w:type="dxa"/>
          </w:tcPr>
          <w:p w14:paraId="271947DE" w14:textId="7FCA2FB0" w:rsidR="00D24B40" w:rsidRPr="009F5198" w:rsidRDefault="00D621C5" w:rsidP="000772B6">
            <w:pPr>
              <w:pStyle w:val="ListParagraph"/>
              <w:numPr>
                <w:ilvl w:val="0"/>
                <w:numId w:val="17"/>
              </w:numPr>
              <w:spacing w:before="120" w:after="120"/>
              <w:contextualSpacing w:val="0"/>
              <w:rPr>
                <w:color w:val="000000"/>
              </w:rPr>
            </w:pPr>
            <w:r w:rsidRPr="00F57208">
              <w:rPr>
                <w:color w:val="000000"/>
              </w:rPr>
              <w:t>T</w:t>
            </w:r>
            <w:r w:rsidR="00D24B40" w:rsidRPr="009F5198">
              <w:rPr>
                <w:color w:val="000000"/>
              </w:rPr>
              <w:t>he implementation of the 201</w:t>
            </w:r>
            <w:r w:rsidR="00A0310B">
              <w:rPr>
                <w:color w:val="000000"/>
              </w:rPr>
              <w:t>8</w:t>
            </w:r>
            <w:r w:rsidR="00D24B40" w:rsidRPr="009F5198">
              <w:rPr>
                <w:color w:val="000000"/>
              </w:rPr>
              <w:t>-1</w:t>
            </w:r>
            <w:r w:rsidR="00A0310B">
              <w:rPr>
                <w:color w:val="000000"/>
              </w:rPr>
              <w:t>9</w:t>
            </w:r>
            <w:r w:rsidR="00D24B40" w:rsidRPr="009F5198">
              <w:rPr>
                <w:color w:val="000000"/>
              </w:rPr>
              <w:t xml:space="preserve"> Oregon Extended Assessment has:</w:t>
            </w:r>
          </w:p>
          <w:p w14:paraId="17F4267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educator understanding of academic content for students with significant cognitive disabilities.</w:t>
            </w:r>
          </w:p>
          <w:p w14:paraId="1552E3A2"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provided new models for assessing academics for students with significant cognitive disabilities.</w:t>
            </w:r>
          </w:p>
          <w:p w14:paraId="4EDC2A23"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positively impacted the curricular and instructional approaches used for students with significant cognitive disabilities in Oregon.</w:t>
            </w:r>
          </w:p>
          <w:p w14:paraId="14E209C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manner in which classroom assessments are designed and implemented.</w:t>
            </w:r>
          </w:p>
          <w:p w14:paraId="65299AD0"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improved the learning outcomes for students with significant cognitive disabilities in Oregon.</w:t>
            </w:r>
          </w:p>
          <w:p w14:paraId="253F4AC9"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access to the general education curriculum for students with significant cognitive disabilities.</w:t>
            </w:r>
          </w:p>
          <w:p w14:paraId="29D0EEB6" w14:textId="77777777"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t>increased the development of academic goals and objectives in IEPs for students with significant cognitive disabilities.</w:t>
            </w:r>
          </w:p>
          <w:p w14:paraId="3AED9AEB" w14:textId="5A49D94D" w:rsidR="00D24B40" w:rsidRPr="00B35A53" w:rsidRDefault="00D24B40" w:rsidP="000772B6">
            <w:pPr>
              <w:pStyle w:val="ListParagraph"/>
              <w:numPr>
                <w:ilvl w:val="1"/>
                <w:numId w:val="17"/>
              </w:numPr>
              <w:spacing w:before="120" w:after="120"/>
              <w:ind w:left="720"/>
              <w:contextualSpacing w:val="0"/>
              <w:rPr>
                <w:color w:val="000000"/>
              </w:rPr>
            </w:pPr>
            <w:r w:rsidRPr="00B35A53">
              <w:rPr>
                <w:color w:val="000000"/>
              </w:rPr>
              <w:lastRenderedPageBreak/>
              <w:t>improved the alignment between IEP goals and objectives and state content standards and benchmarks.</w:t>
            </w:r>
          </w:p>
        </w:tc>
      </w:tr>
      <w:tr w:rsidR="00D24B40" w:rsidRPr="003B7BCA" w14:paraId="3C75268D" w14:textId="77777777" w:rsidTr="00A24614">
        <w:tc>
          <w:tcPr>
            <w:tcW w:w="9576" w:type="dxa"/>
          </w:tcPr>
          <w:p w14:paraId="712F3E47" w14:textId="618B558D" w:rsidR="00D24B40" w:rsidRPr="003B7BCA" w:rsidRDefault="007F1311" w:rsidP="00060584">
            <w:pPr>
              <w:pStyle w:val="ListParagraph"/>
              <w:numPr>
                <w:ilvl w:val="0"/>
                <w:numId w:val="23"/>
              </w:numPr>
              <w:spacing w:before="120" w:after="120"/>
              <w:contextualSpacing w:val="0"/>
              <w:rPr>
                <w:rFonts w:asciiTheme="majorHAnsi" w:eastAsiaTheme="majorEastAsia" w:hAnsiTheme="majorHAnsi" w:cstheme="majorBidi"/>
                <w:color w:val="000000"/>
                <w:sz w:val="20"/>
                <w:szCs w:val="20"/>
              </w:rPr>
            </w:pPr>
            <w:r w:rsidRPr="007F1311">
              <w:rPr>
                <w:i/>
                <w:color w:val="000000"/>
              </w:rPr>
              <w:lastRenderedPageBreak/>
              <w:t xml:space="preserve">DESCRIPTIVE: </w:t>
            </w:r>
            <w:r w:rsidR="001C7C75">
              <w:rPr>
                <w:color w:val="000000"/>
              </w:rPr>
              <w:t>The following questions help us address test design concerns related to the Oregon Extended Assessment system as we invest in continuous improvement efforts.</w:t>
            </w:r>
          </w:p>
        </w:tc>
      </w:tr>
      <w:tr w:rsidR="007F1311" w:rsidRPr="003B7BCA" w14:paraId="28E001EA" w14:textId="77777777" w:rsidTr="00A24614">
        <w:tc>
          <w:tcPr>
            <w:tcW w:w="9576" w:type="dxa"/>
          </w:tcPr>
          <w:p w14:paraId="7D11A47B" w14:textId="23B07D48" w:rsidR="007F1311" w:rsidRPr="007F1311" w:rsidRDefault="00800C1D" w:rsidP="00060584">
            <w:pPr>
              <w:pStyle w:val="ListParagraph"/>
              <w:numPr>
                <w:ilvl w:val="0"/>
                <w:numId w:val="23"/>
              </w:numPr>
              <w:spacing w:before="120" w:after="120"/>
              <w:contextualSpacing w:val="0"/>
              <w:rPr>
                <w:color w:val="000000"/>
              </w:rPr>
            </w:pPr>
            <w:r>
              <w:rPr>
                <w:color w:val="000000"/>
              </w:rPr>
              <w:t>Test administration for the Oregon Extended Assessment to me _______ (</w:t>
            </w:r>
            <w:proofErr w:type="gramStart"/>
            <w:r>
              <w:rPr>
                <w:color w:val="000000"/>
              </w:rPr>
              <w:t>hours:minutes</w:t>
            </w:r>
            <w:proofErr w:type="gramEnd"/>
            <w:r>
              <w:rPr>
                <w:color w:val="000000"/>
              </w:rPr>
              <w:t>) on average for the following content areas this year. Note: do not count preparations of materials or data entry, only test administration.</w:t>
            </w:r>
          </w:p>
        </w:tc>
      </w:tr>
      <w:tr w:rsidR="007F1311" w:rsidRPr="003B7BCA" w14:paraId="11D654A1" w14:textId="77777777" w:rsidTr="00A24614">
        <w:tc>
          <w:tcPr>
            <w:tcW w:w="9576" w:type="dxa"/>
          </w:tcPr>
          <w:p w14:paraId="2C108BF7" w14:textId="55274331" w:rsidR="007F1311" w:rsidRPr="007F1311" w:rsidRDefault="00A50A99" w:rsidP="00060584">
            <w:pPr>
              <w:pStyle w:val="ListParagraph"/>
              <w:numPr>
                <w:ilvl w:val="0"/>
                <w:numId w:val="23"/>
              </w:numPr>
              <w:spacing w:before="120" w:after="120"/>
              <w:contextualSpacing w:val="0"/>
              <w:rPr>
                <w:color w:val="000000"/>
              </w:rPr>
            </w:pPr>
            <w:r>
              <w:rPr>
                <w:color w:val="000000"/>
              </w:rPr>
              <w:t>Please describe what you appreciate most about the 201</w:t>
            </w:r>
            <w:r w:rsidR="00A0310B">
              <w:rPr>
                <w:color w:val="000000"/>
              </w:rPr>
              <w:t>8</w:t>
            </w:r>
            <w:r>
              <w:rPr>
                <w:color w:val="000000"/>
              </w:rPr>
              <w:t>-1</w:t>
            </w:r>
            <w:r w:rsidR="00A0310B">
              <w:rPr>
                <w:color w:val="000000"/>
              </w:rPr>
              <w:t>9</w:t>
            </w:r>
            <w:r>
              <w:rPr>
                <w:color w:val="000000"/>
              </w:rPr>
              <w:t xml:space="preserve"> Oregon Extended Assessment.</w:t>
            </w:r>
          </w:p>
        </w:tc>
      </w:tr>
      <w:tr w:rsidR="007F1311" w:rsidRPr="003B7BCA" w14:paraId="6E6BE4F5" w14:textId="77777777" w:rsidTr="007D6DCD">
        <w:tc>
          <w:tcPr>
            <w:tcW w:w="9576" w:type="dxa"/>
          </w:tcPr>
          <w:p w14:paraId="5B412D18" w14:textId="4D973B8A" w:rsidR="007F1311" w:rsidRPr="007F1311" w:rsidRDefault="00A50A99" w:rsidP="00060584">
            <w:pPr>
              <w:pStyle w:val="ListParagraph"/>
              <w:numPr>
                <w:ilvl w:val="0"/>
                <w:numId w:val="23"/>
              </w:numPr>
              <w:spacing w:before="120" w:after="120"/>
              <w:contextualSpacing w:val="0"/>
              <w:rPr>
                <w:color w:val="000000"/>
              </w:rPr>
            </w:pPr>
            <w:r>
              <w:rPr>
                <w:color w:val="000000"/>
              </w:rPr>
              <w:t>Please recommend at least one improvement that could be made to the 201</w:t>
            </w:r>
            <w:r w:rsidR="00A0310B">
              <w:rPr>
                <w:color w:val="000000"/>
              </w:rPr>
              <w:t>8</w:t>
            </w:r>
            <w:r>
              <w:rPr>
                <w:color w:val="000000"/>
              </w:rPr>
              <w:t>-1</w:t>
            </w:r>
            <w:r w:rsidR="00A0310B">
              <w:rPr>
                <w:color w:val="000000"/>
              </w:rPr>
              <w:t>9</w:t>
            </w:r>
            <w:r>
              <w:rPr>
                <w:color w:val="000000"/>
              </w:rPr>
              <w:t xml:space="preserve"> Oregon Extended Assessment.</w:t>
            </w:r>
          </w:p>
        </w:tc>
      </w:tr>
      <w:tr w:rsidR="007F1311" w:rsidRPr="003B7BCA" w14:paraId="0E3E0201" w14:textId="77777777" w:rsidTr="007D6DCD">
        <w:tc>
          <w:tcPr>
            <w:tcW w:w="9576" w:type="dxa"/>
            <w:tcBorders>
              <w:bottom w:val="single" w:sz="4" w:space="0" w:color="auto"/>
            </w:tcBorders>
          </w:tcPr>
          <w:p w14:paraId="4FAF2C29" w14:textId="1A75DCE1" w:rsidR="00322BB0" w:rsidRPr="00060584" w:rsidRDefault="00A50A99" w:rsidP="00060584">
            <w:pPr>
              <w:pStyle w:val="ListParagraph"/>
              <w:numPr>
                <w:ilvl w:val="0"/>
                <w:numId w:val="23"/>
              </w:numPr>
              <w:spacing w:before="120" w:after="120"/>
              <w:contextualSpacing w:val="0"/>
              <w:rPr>
                <w:i/>
                <w:color w:val="000000"/>
              </w:rPr>
            </w:pPr>
            <w:r>
              <w:rPr>
                <w:color w:val="000000"/>
              </w:rPr>
              <w:t>Please describe your understanding and use of the curricular and instructional resources available through the lms.brtprojects.org website, Curricular and Instructional Materials for Students with Significant Cognitive Disabilities section.</w:t>
            </w:r>
          </w:p>
        </w:tc>
      </w:tr>
    </w:tbl>
    <w:p w14:paraId="5E72C8B3" w14:textId="5B369434" w:rsidR="00DE047D" w:rsidRPr="003B7BCA" w:rsidRDefault="00D15A52" w:rsidP="00FD5183">
      <w:pPr>
        <w:spacing w:before="60" w:after="60" w:line="360" w:lineRule="auto"/>
        <w:rPr>
          <w:rFonts w:cs="Times New Roman"/>
        </w:rPr>
      </w:pPr>
      <w:r w:rsidRPr="003B7BCA">
        <w:rPr>
          <w:rFonts w:cs="Times New Roman"/>
          <w:i/>
        </w:rPr>
        <w:t>Note.</w:t>
      </w:r>
      <w:r w:rsidRPr="003B7BCA">
        <w:rPr>
          <w:rFonts w:cs="Times New Roman"/>
        </w:rPr>
        <w:t xml:space="preserve"> </w:t>
      </w:r>
      <w:r w:rsidR="0022326D">
        <w:rPr>
          <w:rFonts w:cs="Times New Roman"/>
        </w:rPr>
        <w:t>Six</w:t>
      </w:r>
      <w:r w:rsidR="00DE047D" w:rsidRPr="003B7BCA">
        <w:rPr>
          <w:rFonts w:cs="Times New Roman"/>
        </w:rPr>
        <w:t xml:space="preserve"> d</w:t>
      </w:r>
      <w:r w:rsidR="00472D91">
        <w:rPr>
          <w:rFonts w:cs="Times New Roman"/>
        </w:rPr>
        <w:t>emographic items (</w:t>
      </w:r>
      <w:r w:rsidR="00577D4A">
        <w:rPr>
          <w:rFonts w:cs="Times New Roman"/>
        </w:rPr>
        <w:t>21</w:t>
      </w:r>
      <w:r w:rsidR="00B16863" w:rsidRPr="003B7BCA">
        <w:rPr>
          <w:rFonts w:cs="Times New Roman"/>
        </w:rPr>
        <w:t>-</w:t>
      </w:r>
      <w:r w:rsidR="00577D4A">
        <w:rPr>
          <w:rFonts w:cs="Times New Roman"/>
        </w:rPr>
        <w:t>26</w:t>
      </w:r>
      <w:r w:rsidR="00B16863" w:rsidRPr="003B7BCA">
        <w:rPr>
          <w:rFonts w:cs="Times New Roman"/>
        </w:rPr>
        <w:t xml:space="preserve">) were included </w:t>
      </w:r>
      <w:r w:rsidR="004459A6" w:rsidRPr="003B7BCA">
        <w:rPr>
          <w:rFonts w:cs="Times New Roman"/>
        </w:rPr>
        <w:t>at the</w:t>
      </w:r>
      <w:r w:rsidR="00632FC1">
        <w:rPr>
          <w:rFonts w:cs="Times New Roman"/>
        </w:rPr>
        <w:t xml:space="preserve"> end</w:t>
      </w:r>
      <w:r w:rsidR="004459A6" w:rsidRPr="003B7BCA">
        <w:rPr>
          <w:rFonts w:cs="Times New Roman"/>
        </w:rPr>
        <w:t xml:space="preserve"> of</w:t>
      </w:r>
      <w:r w:rsidR="00B16863" w:rsidRPr="003B7BCA">
        <w:rPr>
          <w:rFonts w:cs="Times New Roman"/>
        </w:rPr>
        <w:t xml:space="preserve"> the survey (</w:t>
      </w:r>
      <w:r w:rsidR="00A35176" w:rsidRPr="003B7BCA">
        <w:rPr>
          <w:rFonts w:cs="Times New Roman"/>
        </w:rPr>
        <w:t>displayed in</w:t>
      </w:r>
      <w:r w:rsidR="00B16863" w:rsidRPr="003B7BCA">
        <w:rPr>
          <w:rFonts w:cs="Times New Roman"/>
        </w:rPr>
        <w:t xml:space="preserve"> Tables 1-</w:t>
      </w:r>
      <w:r w:rsidR="006B3781">
        <w:rPr>
          <w:rFonts w:cs="Times New Roman"/>
        </w:rPr>
        <w:t>6</w:t>
      </w:r>
      <w:r w:rsidR="00B16863" w:rsidRPr="003B7BCA">
        <w:rPr>
          <w:rFonts w:cs="Times New Roman"/>
        </w:rPr>
        <w:t xml:space="preserve">). </w:t>
      </w:r>
      <w:r w:rsidR="00472D91">
        <w:rPr>
          <w:rFonts w:cs="Times New Roman"/>
        </w:rPr>
        <w:t>Quantitative items</w:t>
      </w:r>
      <w:r w:rsidRPr="003B7BCA">
        <w:t xml:space="preserve"> </w:t>
      </w:r>
      <w:r w:rsidR="00472D91">
        <w:t>(1-</w:t>
      </w:r>
      <w:r w:rsidR="00313991">
        <w:t>14</w:t>
      </w:r>
      <w:r w:rsidR="00472D91">
        <w:t xml:space="preserve">) </w:t>
      </w:r>
      <w:r w:rsidR="00C4497A" w:rsidRPr="003B7BCA">
        <w:t xml:space="preserve">were positively-worded and </w:t>
      </w:r>
      <w:r w:rsidR="00C4497A" w:rsidRPr="003B7BCA">
        <w:rPr>
          <w:rFonts w:cs="Times New Roman"/>
        </w:rPr>
        <w:t>used</w:t>
      </w:r>
      <w:r w:rsidRPr="003B7BCA">
        <w:rPr>
          <w:rFonts w:cs="Times New Roman"/>
        </w:rPr>
        <w:t xml:space="preserve"> a</w:t>
      </w:r>
      <w:r w:rsidR="00C4497A" w:rsidRPr="003B7BCA">
        <w:rPr>
          <w:rFonts w:cs="Times New Roman"/>
        </w:rPr>
        <w:t xml:space="preserve"> four-point</w:t>
      </w:r>
      <w:r w:rsidRPr="003B7BCA">
        <w:rPr>
          <w:rFonts w:cs="Times New Roman"/>
        </w:rPr>
        <w:t xml:space="preserve"> </w:t>
      </w:r>
      <w:r w:rsidR="00472D91">
        <w:rPr>
          <w:rFonts w:cs="Times New Roman"/>
        </w:rPr>
        <w:t>rating</w:t>
      </w:r>
      <w:r w:rsidRPr="003B7BCA">
        <w:rPr>
          <w:rFonts w:cs="Times New Roman"/>
        </w:rPr>
        <w:t xml:space="preserve"> scale, where:  </w:t>
      </w:r>
      <w:r w:rsidRPr="003B7BCA">
        <w:t xml:space="preserve">1 = strongly disagree, 2 = disagree, 3 = agree, and 4 = strongly agree. </w:t>
      </w:r>
      <w:r w:rsidR="00313991">
        <w:t xml:space="preserve">One quantitative item (16) required numerical input for response. </w:t>
      </w:r>
      <w:r w:rsidRPr="003B7BCA">
        <w:t xml:space="preserve">Qualitative items </w:t>
      </w:r>
      <w:r w:rsidR="00472D91">
        <w:t>(</w:t>
      </w:r>
      <w:r w:rsidR="00313991">
        <w:t>17-19</w:t>
      </w:r>
      <w:r w:rsidR="00472D91">
        <w:t xml:space="preserve">) </w:t>
      </w:r>
      <w:r w:rsidRPr="003B7BCA">
        <w:t>were open-ended response</w:t>
      </w:r>
      <w:r w:rsidR="00472D91">
        <w:t>s</w:t>
      </w:r>
      <w:r w:rsidRPr="003B7BCA">
        <w:t>.</w:t>
      </w:r>
      <w:r w:rsidR="00472D91">
        <w:t xml:space="preserve"> Items </w:t>
      </w:r>
      <w:r w:rsidR="00313991">
        <w:t>15 and 20</w:t>
      </w:r>
      <w:r w:rsidR="00472D91">
        <w:t xml:space="preserve"> were descriptive and served only to orient the respondent to the subsequent question block.</w:t>
      </w:r>
    </w:p>
    <w:sectPr w:rsidR="00DE047D" w:rsidRPr="003B7BCA"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DCB82" w14:textId="77777777" w:rsidR="00996D0B" w:rsidRDefault="00996D0B">
      <w:r>
        <w:separator/>
      </w:r>
    </w:p>
  </w:endnote>
  <w:endnote w:type="continuationSeparator" w:id="0">
    <w:p w14:paraId="2820F1A1" w14:textId="77777777" w:rsidR="00996D0B" w:rsidRDefault="00996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381EA9" w:rsidRDefault="00381EA9"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381EA9" w:rsidRDefault="00381EA9"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381EA9" w:rsidRDefault="00381EA9" w:rsidP="000F34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B4B1D" w14:textId="77777777" w:rsidR="00996D0B" w:rsidRDefault="00996D0B">
      <w:r>
        <w:separator/>
      </w:r>
    </w:p>
  </w:footnote>
  <w:footnote w:type="continuationSeparator" w:id="0">
    <w:p w14:paraId="54752ECF" w14:textId="77777777" w:rsidR="00996D0B" w:rsidRDefault="00996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381EA9" w:rsidRDefault="00381EA9"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381EA9" w:rsidRDefault="00381EA9"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7643BC6" w14:textId="52D0F900" w:rsidR="00381EA9" w:rsidRDefault="00381EA9" w:rsidP="000F34B0">
    <w:pPr>
      <w:pStyle w:val="Header"/>
      <w:ind w:right="360"/>
    </w:pPr>
    <w:r>
      <w:t>OREXT CONSEQUENTIAL VALIDITY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84F8" w14:textId="36787709" w:rsidR="00381EA9" w:rsidRDefault="00381EA9" w:rsidP="000F34B0">
    <w:pPr>
      <w:pStyle w:val="Header"/>
      <w:ind w:right="360"/>
    </w:pPr>
    <w:r>
      <w:t>Running head: OREXT CONSEQUENTIAL VALIDITY 201</w:t>
    </w:r>
    <w:r w:rsidR="00117A3E">
      <w:t>9</w:t>
    </w:r>
  </w:p>
  <w:p w14:paraId="30A1EC2C" w14:textId="77777777" w:rsidR="00381EA9" w:rsidRDefault="00381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E7C6B"/>
    <w:multiLevelType w:val="multilevel"/>
    <w:tmpl w:val="F6C2249E"/>
    <w:lvl w:ilvl="0">
      <w:start w:val="1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7D2F"/>
    <w:multiLevelType w:val="multilevel"/>
    <w:tmpl w:val="B7F6D712"/>
    <w:lvl w:ilvl="0">
      <w:start w:val="2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615166"/>
    <w:multiLevelType w:val="hybridMultilevel"/>
    <w:tmpl w:val="F6C2249E"/>
    <w:lvl w:ilvl="0" w:tplc="639850F0">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895DDF"/>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505FCE"/>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815F0E"/>
    <w:multiLevelType w:val="hybridMultilevel"/>
    <w:tmpl w:val="CCB03AB4"/>
    <w:lvl w:ilvl="0" w:tplc="2A3A41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C2A22"/>
    <w:multiLevelType w:val="multilevel"/>
    <w:tmpl w:val="E10081EE"/>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71135C4"/>
    <w:multiLevelType w:val="hybridMultilevel"/>
    <w:tmpl w:val="6F2203CE"/>
    <w:lvl w:ilvl="0" w:tplc="45F058FA">
      <w:start w:val="15"/>
      <w:numFmt w:val="decimal"/>
      <w:lvlText w:val="%1."/>
      <w:lvlJc w:val="left"/>
      <w:pPr>
        <w:ind w:left="360" w:hanging="360"/>
      </w:pPr>
      <w:rPr>
        <w:rFonts w:asciiTheme="majorHAnsi" w:hAnsiTheme="majorHAns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7"/>
  </w:num>
  <w:num w:numId="3">
    <w:abstractNumId w:val="21"/>
  </w:num>
  <w:num w:numId="4">
    <w:abstractNumId w:val="4"/>
  </w:num>
  <w:num w:numId="5">
    <w:abstractNumId w:val="5"/>
  </w:num>
  <w:num w:numId="6">
    <w:abstractNumId w:val="12"/>
  </w:num>
  <w:num w:numId="7">
    <w:abstractNumId w:val="6"/>
  </w:num>
  <w:num w:numId="8">
    <w:abstractNumId w:val="20"/>
  </w:num>
  <w:num w:numId="9">
    <w:abstractNumId w:val="9"/>
  </w:num>
  <w:num w:numId="10">
    <w:abstractNumId w:val="8"/>
  </w:num>
  <w:num w:numId="11">
    <w:abstractNumId w:val="16"/>
  </w:num>
  <w:num w:numId="12">
    <w:abstractNumId w:val="0"/>
  </w:num>
  <w:num w:numId="13">
    <w:abstractNumId w:val="7"/>
  </w:num>
  <w:num w:numId="14">
    <w:abstractNumId w:val="19"/>
  </w:num>
  <w:num w:numId="15">
    <w:abstractNumId w:val="2"/>
  </w:num>
  <w:num w:numId="16">
    <w:abstractNumId w:val="25"/>
  </w:num>
  <w:num w:numId="17">
    <w:abstractNumId w:val="18"/>
  </w:num>
  <w:num w:numId="18">
    <w:abstractNumId w:val="14"/>
  </w:num>
  <w:num w:numId="19">
    <w:abstractNumId w:val="24"/>
  </w:num>
  <w:num w:numId="20">
    <w:abstractNumId w:val="10"/>
  </w:num>
  <w:num w:numId="21">
    <w:abstractNumId w:val="11"/>
  </w:num>
  <w:num w:numId="22">
    <w:abstractNumId w:val="3"/>
  </w:num>
  <w:num w:numId="23">
    <w:abstractNumId w:val="23"/>
  </w:num>
  <w:num w:numId="24">
    <w:abstractNumId w:val="22"/>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043C8"/>
    <w:rsid w:val="000054A6"/>
    <w:rsid w:val="000106C0"/>
    <w:rsid w:val="00010EAB"/>
    <w:rsid w:val="00011CAD"/>
    <w:rsid w:val="00012462"/>
    <w:rsid w:val="0001408A"/>
    <w:rsid w:val="0001709A"/>
    <w:rsid w:val="000269BF"/>
    <w:rsid w:val="00031512"/>
    <w:rsid w:val="0003332A"/>
    <w:rsid w:val="000341A1"/>
    <w:rsid w:val="00037818"/>
    <w:rsid w:val="000400B6"/>
    <w:rsid w:val="00043D05"/>
    <w:rsid w:val="00044328"/>
    <w:rsid w:val="00044BB9"/>
    <w:rsid w:val="00046C0F"/>
    <w:rsid w:val="000535A8"/>
    <w:rsid w:val="00055146"/>
    <w:rsid w:val="0005558E"/>
    <w:rsid w:val="00056F17"/>
    <w:rsid w:val="00057E54"/>
    <w:rsid w:val="00060584"/>
    <w:rsid w:val="00060AE4"/>
    <w:rsid w:val="00061B8F"/>
    <w:rsid w:val="0006517F"/>
    <w:rsid w:val="00067339"/>
    <w:rsid w:val="00074F36"/>
    <w:rsid w:val="000772B6"/>
    <w:rsid w:val="0007775D"/>
    <w:rsid w:val="00081785"/>
    <w:rsid w:val="00084950"/>
    <w:rsid w:val="0008648E"/>
    <w:rsid w:val="00092BCB"/>
    <w:rsid w:val="000A0F57"/>
    <w:rsid w:val="000A1E85"/>
    <w:rsid w:val="000A6414"/>
    <w:rsid w:val="000A6A1E"/>
    <w:rsid w:val="000B1FFF"/>
    <w:rsid w:val="000B331E"/>
    <w:rsid w:val="000B7B19"/>
    <w:rsid w:val="000C12BC"/>
    <w:rsid w:val="000C2655"/>
    <w:rsid w:val="000C2913"/>
    <w:rsid w:val="000C2ABF"/>
    <w:rsid w:val="000C3521"/>
    <w:rsid w:val="000C3929"/>
    <w:rsid w:val="000C6B91"/>
    <w:rsid w:val="000C78F3"/>
    <w:rsid w:val="000D0DDA"/>
    <w:rsid w:val="000D14F7"/>
    <w:rsid w:val="000D3ABE"/>
    <w:rsid w:val="000E1264"/>
    <w:rsid w:val="000E26F2"/>
    <w:rsid w:val="000E6112"/>
    <w:rsid w:val="000E6E06"/>
    <w:rsid w:val="000F05C6"/>
    <w:rsid w:val="000F2FCE"/>
    <w:rsid w:val="000F34B0"/>
    <w:rsid w:val="000F518C"/>
    <w:rsid w:val="00100137"/>
    <w:rsid w:val="0010090F"/>
    <w:rsid w:val="001022C6"/>
    <w:rsid w:val="001035C1"/>
    <w:rsid w:val="00103D21"/>
    <w:rsid w:val="00106AD9"/>
    <w:rsid w:val="00106BBE"/>
    <w:rsid w:val="00117A3E"/>
    <w:rsid w:val="00121BBD"/>
    <w:rsid w:val="00125F1B"/>
    <w:rsid w:val="001324D0"/>
    <w:rsid w:val="00133BF6"/>
    <w:rsid w:val="001347ED"/>
    <w:rsid w:val="00137D91"/>
    <w:rsid w:val="001417BA"/>
    <w:rsid w:val="00141BCD"/>
    <w:rsid w:val="00141C45"/>
    <w:rsid w:val="00154B60"/>
    <w:rsid w:val="0015714E"/>
    <w:rsid w:val="00170ABD"/>
    <w:rsid w:val="001729FB"/>
    <w:rsid w:val="00175028"/>
    <w:rsid w:val="0017640B"/>
    <w:rsid w:val="00180C65"/>
    <w:rsid w:val="001819B0"/>
    <w:rsid w:val="001834C5"/>
    <w:rsid w:val="00183552"/>
    <w:rsid w:val="00183AEA"/>
    <w:rsid w:val="00183B3E"/>
    <w:rsid w:val="00183D17"/>
    <w:rsid w:val="00184AAE"/>
    <w:rsid w:val="0018704A"/>
    <w:rsid w:val="00196BC2"/>
    <w:rsid w:val="00197DE8"/>
    <w:rsid w:val="001A3427"/>
    <w:rsid w:val="001A3DB4"/>
    <w:rsid w:val="001A4E5C"/>
    <w:rsid w:val="001A75D7"/>
    <w:rsid w:val="001B13DA"/>
    <w:rsid w:val="001B3BC9"/>
    <w:rsid w:val="001B408B"/>
    <w:rsid w:val="001B4EE4"/>
    <w:rsid w:val="001C1699"/>
    <w:rsid w:val="001C1DB2"/>
    <w:rsid w:val="001C34B9"/>
    <w:rsid w:val="001C42F5"/>
    <w:rsid w:val="001C7601"/>
    <w:rsid w:val="001C7C75"/>
    <w:rsid w:val="001D0E0E"/>
    <w:rsid w:val="001D1804"/>
    <w:rsid w:val="001D2081"/>
    <w:rsid w:val="001E5869"/>
    <w:rsid w:val="001E7826"/>
    <w:rsid w:val="001F1A24"/>
    <w:rsid w:val="001F5FCA"/>
    <w:rsid w:val="001F60D5"/>
    <w:rsid w:val="00200668"/>
    <w:rsid w:val="0020139B"/>
    <w:rsid w:val="002013DD"/>
    <w:rsid w:val="00205209"/>
    <w:rsid w:val="00205AC4"/>
    <w:rsid w:val="002060CF"/>
    <w:rsid w:val="00206B1D"/>
    <w:rsid w:val="00211367"/>
    <w:rsid w:val="00214205"/>
    <w:rsid w:val="0021436B"/>
    <w:rsid w:val="00217B06"/>
    <w:rsid w:val="00222926"/>
    <w:rsid w:val="0022326D"/>
    <w:rsid w:val="00225B77"/>
    <w:rsid w:val="002267DD"/>
    <w:rsid w:val="00242921"/>
    <w:rsid w:val="00244997"/>
    <w:rsid w:val="00244A67"/>
    <w:rsid w:val="00250005"/>
    <w:rsid w:val="00250713"/>
    <w:rsid w:val="00250820"/>
    <w:rsid w:val="0025113F"/>
    <w:rsid w:val="00252393"/>
    <w:rsid w:val="0025302C"/>
    <w:rsid w:val="00255E53"/>
    <w:rsid w:val="002577AD"/>
    <w:rsid w:val="00257BA2"/>
    <w:rsid w:val="002600F8"/>
    <w:rsid w:val="00260159"/>
    <w:rsid w:val="00262EB7"/>
    <w:rsid w:val="00264BC7"/>
    <w:rsid w:val="002676A3"/>
    <w:rsid w:val="00276206"/>
    <w:rsid w:val="002808EF"/>
    <w:rsid w:val="00284988"/>
    <w:rsid w:val="0028573D"/>
    <w:rsid w:val="002875B6"/>
    <w:rsid w:val="00291232"/>
    <w:rsid w:val="002A1127"/>
    <w:rsid w:val="002A2125"/>
    <w:rsid w:val="002A2536"/>
    <w:rsid w:val="002A4C62"/>
    <w:rsid w:val="002A54AF"/>
    <w:rsid w:val="002A6695"/>
    <w:rsid w:val="002B671C"/>
    <w:rsid w:val="002B6944"/>
    <w:rsid w:val="002C314A"/>
    <w:rsid w:val="002C4318"/>
    <w:rsid w:val="002C563D"/>
    <w:rsid w:val="002C7594"/>
    <w:rsid w:val="002D28A8"/>
    <w:rsid w:val="002E078C"/>
    <w:rsid w:val="002E15C5"/>
    <w:rsid w:val="002E4A50"/>
    <w:rsid w:val="002E6B1D"/>
    <w:rsid w:val="002E7856"/>
    <w:rsid w:val="002F0AD1"/>
    <w:rsid w:val="002F662D"/>
    <w:rsid w:val="002F7152"/>
    <w:rsid w:val="00304AD1"/>
    <w:rsid w:val="00304F59"/>
    <w:rsid w:val="00305D91"/>
    <w:rsid w:val="00311ACB"/>
    <w:rsid w:val="00313991"/>
    <w:rsid w:val="00315332"/>
    <w:rsid w:val="00315D4F"/>
    <w:rsid w:val="00322BB0"/>
    <w:rsid w:val="00322FDE"/>
    <w:rsid w:val="00326640"/>
    <w:rsid w:val="003272FA"/>
    <w:rsid w:val="00327434"/>
    <w:rsid w:val="003278BD"/>
    <w:rsid w:val="00330A8B"/>
    <w:rsid w:val="003322A7"/>
    <w:rsid w:val="00335765"/>
    <w:rsid w:val="003360FB"/>
    <w:rsid w:val="0034545F"/>
    <w:rsid w:val="00350DC7"/>
    <w:rsid w:val="00351B85"/>
    <w:rsid w:val="0035337F"/>
    <w:rsid w:val="00354295"/>
    <w:rsid w:val="00354A80"/>
    <w:rsid w:val="00356FA5"/>
    <w:rsid w:val="00371AE6"/>
    <w:rsid w:val="00372C60"/>
    <w:rsid w:val="00374FF3"/>
    <w:rsid w:val="00375887"/>
    <w:rsid w:val="00376737"/>
    <w:rsid w:val="003801ED"/>
    <w:rsid w:val="0038049B"/>
    <w:rsid w:val="00381252"/>
    <w:rsid w:val="00381EA9"/>
    <w:rsid w:val="00382798"/>
    <w:rsid w:val="003844CD"/>
    <w:rsid w:val="003855F3"/>
    <w:rsid w:val="003858FC"/>
    <w:rsid w:val="00387699"/>
    <w:rsid w:val="00393198"/>
    <w:rsid w:val="00394B8A"/>
    <w:rsid w:val="003950A8"/>
    <w:rsid w:val="0039590F"/>
    <w:rsid w:val="003A085D"/>
    <w:rsid w:val="003A28A2"/>
    <w:rsid w:val="003A28CE"/>
    <w:rsid w:val="003A3679"/>
    <w:rsid w:val="003A55AB"/>
    <w:rsid w:val="003A72B0"/>
    <w:rsid w:val="003A78B1"/>
    <w:rsid w:val="003B49D3"/>
    <w:rsid w:val="003B4D07"/>
    <w:rsid w:val="003B505C"/>
    <w:rsid w:val="003B6CF8"/>
    <w:rsid w:val="003B7BCA"/>
    <w:rsid w:val="003C13C3"/>
    <w:rsid w:val="003C4C7B"/>
    <w:rsid w:val="003C58FD"/>
    <w:rsid w:val="003C6925"/>
    <w:rsid w:val="003D0B26"/>
    <w:rsid w:val="003D485B"/>
    <w:rsid w:val="003D591C"/>
    <w:rsid w:val="003D7E20"/>
    <w:rsid w:val="003E1207"/>
    <w:rsid w:val="003E2A53"/>
    <w:rsid w:val="003E2AC2"/>
    <w:rsid w:val="003E474A"/>
    <w:rsid w:val="003F03F6"/>
    <w:rsid w:val="003F068E"/>
    <w:rsid w:val="003F0E1D"/>
    <w:rsid w:val="003F438F"/>
    <w:rsid w:val="003F68DF"/>
    <w:rsid w:val="004003AE"/>
    <w:rsid w:val="00400C81"/>
    <w:rsid w:val="0040142D"/>
    <w:rsid w:val="0040346B"/>
    <w:rsid w:val="004043C0"/>
    <w:rsid w:val="004065A3"/>
    <w:rsid w:val="004159FA"/>
    <w:rsid w:val="004168C9"/>
    <w:rsid w:val="00417784"/>
    <w:rsid w:val="004231D6"/>
    <w:rsid w:val="00426140"/>
    <w:rsid w:val="0042723A"/>
    <w:rsid w:val="004346F7"/>
    <w:rsid w:val="00441C1C"/>
    <w:rsid w:val="0044259D"/>
    <w:rsid w:val="004430B4"/>
    <w:rsid w:val="00443E76"/>
    <w:rsid w:val="004459A6"/>
    <w:rsid w:val="00445C3A"/>
    <w:rsid w:val="00450125"/>
    <w:rsid w:val="00451E63"/>
    <w:rsid w:val="0046057B"/>
    <w:rsid w:val="004675DA"/>
    <w:rsid w:val="00471E36"/>
    <w:rsid w:val="0047246C"/>
    <w:rsid w:val="004728F5"/>
    <w:rsid w:val="00472D91"/>
    <w:rsid w:val="00476296"/>
    <w:rsid w:val="00484C15"/>
    <w:rsid w:val="004873F0"/>
    <w:rsid w:val="0048740C"/>
    <w:rsid w:val="00487A81"/>
    <w:rsid w:val="00491983"/>
    <w:rsid w:val="00494381"/>
    <w:rsid w:val="00495B43"/>
    <w:rsid w:val="004A0CE1"/>
    <w:rsid w:val="004A2A7B"/>
    <w:rsid w:val="004A334F"/>
    <w:rsid w:val="004A394B"/>
    <w:rsid w:val="004A4F8D"/>
    <w:rsid w:val="004A5EDB"/>
    <w:rsid w:val="004A62A9"/>
    <w:rsid w:val="004B0CD2"/>
    <w:rsid w:val="004B2DD5"/>
    <w:rsid w:val="004C178B"/>
    <w:rsid w:val="004C2460"/>
    <w:rsid w:val="004C2D7A"/>
    <w:rsid w:val="004C3A9C"/>
    <w:rsid w:val="004D1D46"/>
    <w:rsid w:val="004D2E58"/>
    <w:rsid w:val="004D31C1"/>
    <w:rsid w:val="004D4685"/>
    <w:rsid w:val="004E424B"/>
    <w:rsid w:val="004E60AB"/>
    <w:rsid w:val="004E626B"/>
    <w:rsid w:val="004F2265"/>
    <w:rsid w:val="004F2AEE"/>
    <w:rsid w:val="004F3B25"/>
    <w:rsid w:val="004F68C5"/>
    <w:rsid w:val="00500229"/>
    <w:rsid w:val="00503079"/>
    <w:rsid w:val="00503E1D"/>
    <w:rsid w:val="005147E9"/>
    <w:rsid w:val="00514CB0"/>
    <w:rsid w:val="00517F06"/>
    <w:rsid w:val="005213B5"/>
    <w:rsid w:val="00522F6F"/>
    <w:rsid w:val="0053163F"/>
    <w:rsid w:val="005403C0"/>
    <w:rsid w:val="00540D5C"/>
    <w:rsid w:val="005435F4"/>
    <w:rsid w:val="00545FC9"/>
    <w:rsid w:val="0055156D"/>
    <w:rsid w:val="00551C0C"/>
    <w:rsid w:val="00552156"/>
    <w:rsid w:val="0055241F"/>
    <w:rsid w:val="0055359B"/>
    <w:rsid w:val="00555D93"/>
    <w:rsid w:val="00556D90"/>
    <w:rsid w:val="00557B91"/>
    <w:rsid w:val="00562B6C"/>
    <w:rsid w:val="00566148"/>
    <w:rsid w:val="0056692C"/>
    <w:rsid w:val="00566F80"/>
    <w:rsid w:val="00567FA3"/>
    <w:rsid w:val="00574F78"/>
    <w:rsid w:val="00576F10"/>
    <w:rsid w:val="00577D4A"/>
    <w:rsid w:val="00582498"/>
    <w:rsid w:val="00582730"/>
    <w:rsid w:val="005846A3"/>
    <w:rsid w:val="005858D1"/>
    <w:rsid w:val="00590CE2"/>
    <w:rsid w:val="00592CC9"/>
    <w:rsid w:val="005939EB"/>
    <w:rsid w:val="00593F5B"/>
    <w:rsid w:val="005954BA"/>
    <w:rsid w:val="005A5D46"/>
    <w:rsid w:val="005B07B2"/>
    <w:rsid w:val="005B0BB0"/>
    <w:rsid w:val="005C1A27"/>
    <w:rsid w:val="005C262D"/>
    <w:rsid w:val="005C2695"/>
    <w:rsid w:val="005C51AC"/>
    <w:rsid w:val="005C526D"/>
    <w:rsid w:val="005E04BC"/>
    <w:rsid w:val="005E2E5F"/>
    <w:rsid w:val="005E450B"/>
    <w:rsid w:val="005E73E2"/>
    <w:rsid w:val="005F3D01"/>
    <w:rsid w:val="005F5E51"/>
    <w:rsid w:val="005F74F4"/>
    <w:rsid w:val="00605F72"/>
    <w:rsid w:val="0060725C"/>
    <w:rsid w:val="006104D7"/>
    <w:rsid w:val="00611C09"/>
    <w:rsid w:val="00614F25"/>
    <w:rsid w:val="00615F0C"/>
    <w:rsid w:val="00616B1D"/>
    <w:rsid w:val="006216BE"/>
    <w:rsid w:val="0062231F"/>
    <w:rsid w:val="00631AD9"/>
    <w:rsid w:val="00632FC1"/>
    <w:rsid w:val="006349A4"/>
    <w:rsid w:val="00640F67"/>
    <w:rsid w:val="006410A0"/>
    <w:rsid w:val="00644E00"/>
    <w:rsid w:val="00645F15"/>
    <w:rsid w:val="006470C1"/>
    <w:rsid w:val="00647220"/>
    <w:rsid w:val="00653A42"/>
    <w:rsid w:val="00653F2B"/>
    <w:rsid w:val="00656143"/>
    <w:rsid w:val="00657255"/>
    <w:rsid w:val="0066101C"/>
    <w:rsid w:val="0066138C"/>
    <w:rsid w:val="00664280"/>
    <w:rsid w:val="0066447D"/>
    <w:rsid w:val="00673CAF"/>
    <w:rsid w:val="0067528E"/>
    <w:rsid w:val="00676BA8"/>
    <w:rsid w:val="006812B5"/>
    <w:rsid w:val="00681C4E"/>
    <w:rsid w:val="00682774"/>
    <w:rsid w:val="0068290A"/>
    <w:rsid w:val="006855DB"/>
    <w:rsid w:val="00687AC0"/>
    <w:rsid w:val="00696B4A"/>
    <w:rsid w:val="00697E15"/>
    <w:rsid w:val="006A03F8"/>
    <w:rsid w:val="006A09B1"/>
    <w:rsid w:val="006A37FF"/>
    <w:rsid w:val="006A4DB2"/>
    <w:rsid w:val="006B3781"/>
    <w:rsid w:val="006B6A32"/>
    <w:rsid w:val="006B7715"/>
    <w:rsid w:val="006C1230"/>
    <w:rsid w:val="006C3336"/>
    <w:rsid w:val="006D0E60"/>
    <w:rsid w:val="006D1819"/>
    <w:rsid w:val="006E04AD"/>
    <w:rsid w:val="006E1F1D"/>
    <w:rsid w:val="006E214C"/>
    <w:rsid w:val="006E3E14"/>
    <w:rsid w:val="006E482B"/>
    <w:rsid w:val="006E656D"/>
    <w:rsid w:val="006E7178"/>
    <w:rsid w:val="006F0079"/>
    <w:rsid w:val="006F1AB3"/>
    <w:rsid w:val="006F1DA9"/>
    <w:rsid w:val="006F1E7A"/>
    <w:rsid w:val="006F362E"/>
    <w:rsid w:val="006F564E"/>
    <w:rsid w:val="006F6B4D"/>
    <w:rsid w:val="006F6D54"/>
    <w:rsid w:val="007017E4"/>
    <w:rsid w:val="00703B07"/>
    <w:rsid w:val="007046A9"/>
    <w:rsid w:val="00710BD3"/>
    <w:rsid w:val="00711179"/>
    <w:rsid w:val="00714CC5"/>
    <w:rsid w:val="0071539E"/>
    <w:rsid w:val="00715D21"/>
    <w:rsid w:val="00717A32"/>
    <w:rsid w:val="007230D0"/>
    <w:rsid w:val="007232A7"/>
    <w:rsid w:val="007239F8"/>
    <w:rsid w:val="0073296A"/>
    <w:rsid w:val="007423A6"/>
    <w:rsid w:val="00743F78"/>
    <w:rsid w:val="00752FA2"/>
    <w:rsid w:val="00762BA6"/>
    <w:rsid w:val="007634EF"/>
    <w:rsid w:val="00770FDA"/>
    <w:rsid w:val="007711C9"/>
    <w:rsid w:val="007753EE"/>
    <w:rsid w:val="0077771C"/>
    <w:rsid w:val="00783DDC"/>
    <w:rsid w:val="0078740C"/>
    <w:rsid w:val="007915E5"/>
    <w:rsid w:val="00791EAC"/>
    <w:rsid w:val="00794649"/>
    <w:rsid w:val="00797566"/>
    <w:rsid w:val="00797D23"/>
    <w:rsid w:val="00797FFB"/>
    <w:rsid w:val="007A0734"/>
    <w:rsid w:val="007A2A24"/>
    <w:rsid w:val="007A3D79"/>
    <w:rsid w:val="007A6E8D"/>
    <w:rsid w:val="007A745E"/>
    <w:rsid w:val="007B03BA"/>
    <w:rsid w:val="007B1701"/>
    <w:rsid w:val="007B2B98"/>
    <w:rsid w:val="007B758F"/>
    <w:rsid w:val="007C5890"/>
    <w:rsid w:val="007D0660"/>
    <w:rsid w:val="007D129F"/>
    <w:rsid w:val="007D2E59"/>
    <w:rsid w:val="007D6DCD"/>
    <w:rsid w:val="007D7008"/>
    <w:rsid w:val="007D74EC"/>
    <w:rsid w:val="007D7975"/>
    <w:rsid w:val="007E19B6"/>
    <w:rsid w:val="007F1311"/>
    <w:rsid w:val="007F276B"/>
    <w:rsid w:val="007F57A3"/>
    <w:rsid w:val="007F7507"/>
    <w:rsid w:val="007F752B"/>
    <w:rsid w:val="00800C1D"/>
    <w:rsid w:val="00801836"/>
    <w:rsid w:val="00803AB8"/>
    <w:rsid w:val="00804DFB"/>
    <w:rsid w:val="00806CD8"/>
    <w:rsid w:val="00807FA6"/>
    <w:rsid w:val="00810FEF"/>
    <w:rsid w:val="00812CD4"/>
    <w:rsid w:val="008154A4"/>
    <w:rsid w:val="00817346"/>
    <w:rsid w:val="008216FA"/>
    <w:rsid w:val="00823762"/>
    <w:rsid w:val="008245B6"/>
    <w:rsid w:val="00832606"/>
    <w:rsid w:val="0083363A"/>
    <w:rsid w:val="00834E42"/>
    <w:rsid w:val="00844186"/>
    <w:rsid w:val="00853295"/>
    <w:rsid w:val="00857C1F"/>
    <w:rsid w:val="008606CE"/>
    <w:rsid w:val="00861EC6"/>
    <w:rsid w:val="00862796"/>
    <w:rsid w:val="008637D5"/>
    <w:rsid w:val="00863821"/>
    <w:rsid w:val="0086417A"/>
    <w:rsid w:val="008678D9"/>
    <w:rsid w:val="00875C03"/>
    <w:rsid w:val="008760F5"/>
    <w:rsid w:val="00880D48"/>
    <w:rsid w:val="00887D0A"/>
    <w:rsid w:val="00890171"/>
    <w:rsid w:val="00890B02"/>
    <w:rsid w:val="00895BD8"/>
    <w:rsid w:val="00895FEF"/>
    <w:rsid w:val="00897BFE"/>
    <w:rsid w:val="008A46A4"/>
    <w:rsid w:val="008A5743"/>
    <w:rsid w:val="008A5B20"/>
    <w:rsid w:val="008A6C45"/>
    <w:rsid w:val="008A6F40"/>
    <w:rsid w:val="008B2387"/>
    <w:rsid w:val="008B2670"/>
    <w:rsid w:val="008B27CB"/>
    <w:rsid w:val="008B55D3"/>
    <w:rsid w:val="008B6404"/>
    <w:rsid w:val="008B7652"/>
    <w:rsid w:val="008C030E"/>
    <w:rsid w:val="008C0FC2"/>
    <w:rsid w:val="008C2BCF"/>
    <w:rsid w:val="008C2FCE"/>
    <w:rsid w:val="008C46AE"/>
    <w:rsid w:val="008C5248"/>
    <w:rsid w:val="008C620B"/>
    <w:rsid w:val="008D3538"/>
    <w:rsid w:val="008D3F17"/>
    <w:rsid w:val="008D5546"/>
    <w:rsid w:val="008D6ABF"/>
    <w:rsid w:val="008D6FAC"/>
    <w:rsid w:val="008E17DF"/>
    <w:rsid w:val="008E2E1D"/>
    <w:rsid w:val="008E4FF6"/>
    <w:rsid w:val="008F1992"/>
    <w:rsid w:val="008F4B5A"/>
    <w:rsid w:val="008F7E62"/>
    <w:rsid w:val="009015BF"/>
    <w:rsid w:val="00901F5B"/>
    <w:rsid w:val="009055C2"/>
    <w:rsid w:val="00910634"/>
    <w:rsid w:val="00916B49"/>
    <w:rsid w:val="00917107"/>
    <w:rsid w:val="0091799B"/>
    <w:rsid w:val="00922180"/>
    <w:rsid w:val="0092273C"/>
    <w:rsid w:val="009248BA"/>
    <w:rsid w:val="00926CE9"/>
    <w:rsid w:val="00933EBF"/>
    <w:rsid w:val="00934C6B"/>
    <w:rsid w:val="009351C0"/>
    <w:rsid w:val="00935724"/>
    <w:rsid w:val="009445D9"/>
    <w:rsid w:val="0095062C"/>
    <w:rsid w:val="00952B6B"/>
    <w:rsid w:val="0095364A"/>
    <w:rsid w:val="0095766B"/>
    <w:rsid w:val="009579FF"/>
    <w:rsid w:val="00961A83"/>
    <w:rsid w:val="00970555"/>
    <w:rsid w:val="0097163B"/>
    <w:rsid w:val="00971B82"/>
    <w:rsid w:val="00972A9C"/>
    <w:rsid w:val="00974545"/>
    <w:rsid w:val="00975F85"/>
    <w:rsid w:val="0097700B"/>
    <w:rsid w:val="00980DCF"/>
    <w:rsid w:val="00980E3B"/>
    <w:rsid w:val="00981198"/>
    <w:rsid w:val="00983D16"/>
    <w:rsid w:val="00985904"/>
    <w:rsid w:val="00985AB1"/>
    <w:rsid w:val="00986D41"/>
    <w:rsid w:val="00987D15"/>
    <w:rsid w:val="00992ADE"/>
    <w:rsid w:val="0099327C"/>
    <w:rsid w:val="00996329"/>
    <w:rsid w:val="00996D0B"/>
    <w:rsid w:val="009A0D04"/>
    <w:rsid w:val="009A2557"/>
    <w:rsid w:val="009A2AC8"/>
    <w:rsid w:val="009A72B4"/>
    <w:rsid w:val="009B3B42"/>
    <w:rsid w:val="009B648E"/>
    <w:rsid w:val="009B6B7D"/>
    <w:rsid w:val="009B79D6"/>
    <w:rsid w:val="009B7BB9"/>
    <w:rsid w:val="009C0090"/>
    <w:rsid w:val="009C1F76"/>
    <w:rsid w:val="009C32BF"/>
    <w:rsid w:val="009C6AE0"/>
    <w:rsid w:val="009D3195"/>
    <w:rsid w:val="009D3E68"/>
    <w:rsid w:val="009D5FFA"/>
    <w:rsid w:val="009D6832"/>
    <w:rsid w:val="009D6A59"/>
    <w:rsid w:val="009E1BDD"/>
    <w:rsid w:val="009E2345"/>
    <w:rsid w:val="009E2D04"/>
    <w:rsid w:val="009E4437"/>
    <w:rsid w:val="009E59DF"/>
    <w:rsid w:val="009F19B8"/>
    <w:rsid w:val="009F2502"/>
    <w:rsid w:val="009F376A"/>
    <w:rsid w:val="009F5198"/>
    <w:rsid w:val="009F5DA7"/>
    <w:rsid w:val="009F63CE"/>
    <w:rsid w:val="00A025D6"/>
    <w:rsid w:val="00A0310B"/>
    <w:rsid w:val="00A05346"/>
    <w:rsid w:val="00A064E2"/>
    <w:rsid w:val="00A07238"/>
    <w:rsid w:val="00A10C3B"/>
    <w:rsid w:val="00A10D29"/>
    <w:rsid w:val="00A12CE9"/>
    <w:rsid w:val="00A1606A"/>
    <w:rsid w:val="00A16653"/>
    <w:rsid w:val="00A23F4E"/>
    <w:rsid w:val="00A24614"/>
    <w:rsid w:val="00A2463F"/>
    <w:rsid w:val="00A25059"/>
    <w:rsid w:val="00A2556E"/>
    <w:rsid w:val="00A30110"/>
    <w:rsid w:val="00A35176"/>
    <w:rsid w:val="00A424BF"/>
    <w:rsid w:val="00A4595F"/>
    <w:rsid w:val="00A46CE2"/>
    <w:rsid w:val="00A47687"/>
    <w:rsid w:val="00A50A99"/>
    <w:rsid w:val="00A52D48"/>
    <w:rsid w:val="00A53639"/>
    <w:rsid w:val="00A546D6"/>
    <w:rsid w:val="00A62285"/>
    <w:rsid w:val="00A643C0"/>
    <w:rsid w:val="00A65F22"/>
    <w:rsid w:val="00A7107F"/>
    <w:rsid w:val="00A729FC"/>
    <w:rsid w:val="00A73B52"/>
    <w:rsid w:val="00A7439F"/>
    <w:rsid w:val="00A75CF8"/>
    <w:rsid w:val="00A80668"/>
    <w:rsid w:val="00A844EA"/>
    <w:rsid w:val="00A84BA5"/>
    <w:rsid w:val="00A84FA9"/>
    <w:rsid w:val="00A85E92"/>
    <w:rsid w:val="00A91423"/>
    <w:rsid w:val="00A94A45"/>
    <w:rsid w:val="00A95B21"/>
    <w:rsid w:val="00A961FF"/>
    <w:rsid w:val="00A963A1"/>
    <w:rsid w:val="00A96409"/>
    <w:rsid w:val="00A9775F"/>
    <w:rsid w:val="00AA213C"/>
    <w:rsid w:val="00AA2EE5"/>
    <w:rsid w:val="00AA57F7"/>
    <w:rsid w:val="00AB5122"/>
    <w:rsid w:val="00AC0523"/>
    <w:rsid w:val="00AC413A"/>
    <w:rsid w:val="00AC659E"/>
    <w:rsid w:val="00AC7CB7"/>
    <w:rsid w:val="00AD1AA4"/>
    <w:rsid w:val="00AD447F"/>
    <w:rsid w:val="00AD6923"/>
    <w:rsid w:val="00AE1DCF"/>
    <w:rsid w:val="00AE2243"/>
    <w:rsid w:val="00AE7798"/>
    <w:rsid w:val="00AF26DB"/>
    <w:rsid w:val="00AF4092"/>
    <w:rsid w:val="00AF4976"/>
    <w:rsid w:val="00B004C7"/>
    <w:rsid w:val="00B05F30"/>
    <w:rsid w:val="00B06FB6"/>
    <w:rsid w:val="00B10940"/>
    <w:rsid w:val="00B13FB8"/>
    <w:rsid w:val="00B16863"/>
    <w:rsid w:val="00B17CDF"/>
    <w:rsid w:val="00B2132B"/>
    <w:rsid w:val="00B213DB"/>
    <w:rsid w:val="00B32A68"/>
    <w:rsid w:val="00B34D94"/>
    <w:rsid w:val="00B35A53"/>
    <w:rsid w:val="00B3623E"/>
    <w:rsid w:val="00B36262"/>
    <w:rsid w:val="00B43602"/>
    <w:rsid w:val="00B5022E"/>
    <w:rsid w:val="00B51898"/>
    <w:rsid w:val="00B52F32"/>
    <w:rsid w:val="00B53B1C"/>
    <w:rsid w:val="00B62BB3"/>
    <w:rsid w:val="00B6381D"/>
    <w:rsid w:val="00B669D6"/>
    <w:rsid w:val="00B7119D"/>
    <w:rsid w:val="00B778AD"/>
    <w:rsid w:val="00B80993"/>
    <w:rsid w:val="00B82455"/>
    <w:rsid w:val="00B82650"/>
    <w:rsid w:val="00B8298A"/>
    <w:rsid w:val="00B83316"/>
    <w:rsid w:val="00B90D7C"/>
    <w:rsid w:val="00B918D8"/>
    <w:rsid w:val="00B977F9"/>
    <w:rsid w:val="00BB084C"/>
    <w:rsid w:val="00BB2623"/>
    <w:rsid w:val="00BB3311"/>
    <w:rsid w:val="00BC0C8B"/>
    <w:rsid w:val="00BC0D60"/>
    <w:rsid w:val="00BC1964"/>
    <w:rsid w:val="00BC22BB"/>
    <w:rsid w:val="00BC3A08"/>
    <w:rsid w:val="00BC3DED"/>
    <w:rsid w:val="00BC4411"/>
    <w:rsid w:val="00BC56D8"/>
    <w:rsid w:val="00BC5BAF"/>
    <w:rsid w:val="00BD33C1"/>
    <w:rsid w:val="00BD37F1"/>
    <w:rsid w:val="00BD63E7"/>
    <w:rsid w:val="00BD6CFF"/>
    <w:rsid w:val="00BE488D"/>
    <w:rsid w:val="00BE4CD6"/>
    <w:rsid w:val="00BE7A11"/>
    <w:rsid w:val="00BF0C8C"/>
    <w:rsid w:val="00BF2350"/>
    <w:rsid w:val="00BF5B7E"/>
    <w:rsid w:val="00C00FE2"/>
    <w:rsid w:val="00C0210F"/>
    <w:rsid w:val="00C03A9D"/>
    <w:rsid w:val="00C040E2"/>
    <w:rsid w:val="00C07182"/>
    <w:rsid w:val="00C14A9A"/>
    <w:rsid w:val="00C32720"/>
    <w:rsid w:val="00C32F23"/>
    <w:rsid w:val="00C338EA"/>
    <w:rsid w:val="00C35EEC"/>
    <w:rsid w:val="00C4094F"/>
    <w:rsid w:val="00C4497A"/>
    <w:rsid w:val="00C46224"/>
    <w:rsid w:val="00C46CC2"/>
    <w:rsid w:val="00C4784A"/>
    <w:rsid w:val="00C575CD"/>
    <w:rsid w:val="00C62135"/>
    <w:rsid w:val="00C64658"/>
    <w:rsid w:val="00C65B72"/>
    <w:rsid w:val="00C66004"/>
    <w:rsid w:val="00C667C3"/>
    <w:rsid w:val="00C717DA"/>
    <w:rsid w:val="00C742CA"/>
    <w:rsid w:val="00C77251"/>
    <w:rsid w:val="00C8210D"/>
    <w:rsid w:val="00C8250F"/>
    <w:rsid w:val="00C85663"/>
    <w:rsid w:val="00C90D7A"/>
    <w:rsid w:val="00C91085"/>
    <w:rsid w:val="00C925C5"/>
    <w:rsid w:val="00C92B8E"/>
    <w:rsid w:val="00C94693"/>
    <w:rsid w:val="00CA03DB"/>
    <w:rsid w:val="00CA1C4C"/>
    <w:rsid w:val="00CA465C"/>
    <w:rsid w:val="00CA5591"/>
    <w:rsid w:val="00CA58F4"/>
    <w:rsid w:val="00CA633A"/>
    <w:rsid w:val="00CA6A39"/>
    <w:rsid w:val="00CA76CF"/>
    <w:rsid w:val="00CB0064"/>
    <w:rsid w:val="00CB0576"/>
    <w:rsid w:val="00CB212C"/>
    <w:rsid w:val="00CB2907"/>
    <w:rsid w:val="00CB41F5"/>
    <w:rsid w:val="00CC0845"/>
    <w:rsid w:val="00CC73FE"/>
    <w:rsid w:val="00CD05FD"/>
    <w:rsid w:val="00CD16B3"/>
    <w:rsid w:val="00CD209D"/>
    <w:rsid w:val="00CD33A6"/>
    <w:rsid w:val="00CE4853"/>
    <w:rsid w:val="00CE4E33"/>
    <w:rsid w:val="00CF1E9D"/>
    <w:rsid w:val="00CF2AD3"/>
    <w:rsid w:val="00CF4725"/>
    <w:rsid w:val="00D02348"/>
    <w:rsid w:val="00D05E88"/>
    <w:rsid w:val="00D062C1"/>
    <w:rsid w:val="00D07EC2"/>
    <w:rsid w:val="00D12D22"/>
    <w:rsid w:val="00D15715"/>
    <w:rsid w:val="00D15A52"/>
    <w:rsid w:val="00D162D7"/>
    <w:rsid w:val="00D243A4"/>
    <w:rsid w:val="00D24B40"/>
    <w:rsid w:val="00D315B3"/>
    <w:rsid w:val="00D35855"/>
    <w:rsid w:val="00D47730"/>
    <w:rsid w:val="00D53CDE"/>
    <w:rsid w:val="00D55AE9"/>
    <w:rsid w:val="00D57890"/>
    <w:rsid w:val="00D57F36"/>
    <w:rsid w:val="00D6122D"/>
    <w:rsid w:val="00D621C5"/>
    <w:rsid w:val="00D62477"/>
    <w:rsid w:val="00D64A59"/>
    <w:rsid w:val="00D70E23"/>
    <w:rsid w:val="00D75E21"/>
    <w:rsid w:val="00D852C5"/>
    <w:rsid w:val="00D91E38"/>
    <w:rsid w:val="00D926AF"/>
    <w:rsid w:val="00D93C60"/>
    <w:rsid w:val="00DA14CE"/>
    <w:rsid w:val="00DA1B5F"/>
    <w:rsid w:val="00DA2F95"/>
    <w:rsid w:val="00DA7A19"/>
    <w:rsid w:val="00DB04CE"/>
    <w:rsid w:val="00DB51FF"/>
    <w:rsid w:val="00DB5AC7"/>
    <w:rsid w:val="00DB67C7"/>
    <w:rsid w:val="00DC3A35"/>
    <w:rsid w:val="00DC3D98"/>
    <w:rsid w:val="00DC736A"/>
    <w:rsid w:val="00DD34D1"/>
    <w:rsid w:val="00DD362B"/>
    <w:rsid w:val="00DD596A"/>
    <w:rsid w:val="00DD596E"/>
    <w:rsid w:val="00DE047D"/>
    <w:rsid w:val="00DE0EB3"/>
    <w:rsid w:val="00DE110D"/>
    <w:rsid w:val="00DE4917"/>
    <w:rsid w:val="00DE5AC8"/>
    <w:rsid w:val="00DF42EC"/>
    <w:rsid w:val="00DF49F3"/>
    <w:rsid w:val="00E03334"/>
    <w:rsid w:val="00E057BF"/>
    <w:rsid w:val="00E05AB5"/>
    <w:rsid w:val="00E07932"/>
    <w:rsid w:val="00E10CF2"/>
    <w:rsid w:val="00E12C21"/>
    <w:rsid w:val="00E1310A"/>
    <w:rsid w:val="00E13207"/>
    <w:rsid w:val="00E14723"/>
    <w:rsid w:val="00E16F35"/>
    <w:rsid w:val="00E16FFB"/>
    <w:rsid w:val="00E17ADB"/>
    <w:rsid w:val="00E24D00"/>
    <w:rsid w:val="00E3176A"/>
    <w:rsid w:val="00E33803"/>
    <w:rsid w:val="00E33985"/>
    <w:rsid w:val="00E40E67"/>
    <w:rsid w:val="00E41C5E"/>
    <w:rsid w:val="00E444AC"/>
    <w:rsid w:val="00E5795A"/>
    <w:rsid w:val="00E60B6C"/>
    <w:rsid w:val="00E631A4"/>
    <w:rsid w:val="00E6463F"/>
    <w:rsid w:val="00E65CF5"/>
    <w:rsid w:val="00E66EED"/>
    <w:rsid w:val="00E713E4"/>
    <w:rsid w:val="00E72B00"/>
    <w:rsid w:val="00E74CAF"/>
    <w:rsid w:val="00E7612B"/>
    <w:rsid w:val="00E90601"/>
    <w:rsid w:val="00E90DB9"/>
    <w:rsid w:val="00E913DB"/>
    <w:rsid w:val="00E9346C"/>
    <w:rsid w:val="00E94117"/>
    <w:rsid w:val="00E956C5"/>
    <w:rsid w:val="00E9664D"/>
    <w:rsid w:val="00E96A4F"/>
    <w:rsid w:val="00E978B3"/>
    <w:rsid w:val="00EA0C44"/>
    <w:rsid w:val="00EA1640"/>
    <w:rsid w:val="00EA1655"/>
    <w:rsid w:val="00EB49DC"/>
    <w:rsid w:val="00EB705D"/>
    <w:rsid w:val="00EC5C31"/>
    <w:rsid w:val="00EC5EA8"/>
    <w:rsid w:val="00EC774D"/>
    <w:rsid w:val="00EC7B1E"/>
    <w:rsid w:val="00ED0BB5"/>
    <w:rsid w:val="00ED2B95"/>
    <w:rsid w:val="00ED3A26"/>
    <w:rsid w:val="00ED4104"/>
    <w:rsid w:val="00ED65E0"/>
    <w:rsid w:val="00ED6CF5"/>
    <w:rsid w:val="00EE260F"/>
    <w:rsid w:val="00EE269D"/>
    <w:rsid w:val="00EE2DF8"/>
    <w:rsid w:val="00EE3C62"/>
    <w:rsid w:val="00EF1143"/>
    <w:rsid w:val="00EF65C4"/>
    <w:rsid w:val="00F00DD8"/>
    <w:rsid w:val="00F01786"/>
    <w:rsid w:val="00F062BD"/>
    <w:rsid w:val="00F07DA2"/>
    <w:rsid w:val="00F07F85"/>
    <w:rsid w:val="00F11BDC"/>
    <w:rsid w:val="00F12BE0"/>
    <w:rsid w:val="00F14609"/>
    <w:rsid w:val="00F15597"/>
    <w:rsid w:val="00F170E8"/>
    <w:rsid w:val="00F265CE"/>
    <w:rsid w:val="00F26939"/>
    <w:rsid w:val="00F30226"/>
    <w:rsid w:val="00F307AE"/>
    <w:rsid w:val="00F318A4"/>
    <w:rsid w:val="00F34090"/>
    <w:rsid w:val="00F347CA"/>
    <w:rsid w:val="00F35F81"/>
    <w:rsid w:val="00F36C69"/>
    <w:rsid w:val="00F42754"/>
    <w:rsid w:val="00F45D23"/>
    <w:rsid w:val="00F4649F"/>
    <w:rsid w:val="00F47E16"/>
    <w:rsid w:val="00F50B27"/>
    <w:rsid w:val="00F54E1C"/>
    <w:rsid w:val="00F57208"/>
    <w:rsid w:val="00F61643"/>
    <w:rsid w:val="00F61B26"/>
    <w:rsid w:val="00F73199"/>
    <w:rsid w:val="00F766CC"/>
    <w:rsid w:val="00F86DC0"/>
    <w:rsid w:val="00F87068"/>
    <w:rsid w:val="00F87E75"/>
    <w:rsid w:val="00F93105"/>
    <w:rsid w:val="00F94803"/>
    <w:rsid w:val="00F97031"/>
    <w:rsid w:val="00FA3962"/>
    <w:rsid w:val="00FA461E"/>
    <w:rsid w:val="00FB0CA5"/>
    <w:rsid w:val="00FC0466"/>
    <w:rsid w:val="00FC1A77"/>
    <w:rsid w:val="00FC3EC5"/>
    <w:rsid w:val="00FC495F"/>
    <w:rsid w:val="00FC57B1"/>
    <w:rsid w:val="00FC6C96"/>
    <w:rsid w:val="00FC72F8"/>
    <w:rsid w:val="00FC7689"/>
    <w:rsid w:val="00FC7A59"/>
    <w:rsid w:val="00FD2E43"/>
    <w:rsid w:val="00FD34C7"/>
    <w:rsid w:val="00FD5183"/>
    <w:rsid w:val="00FD5B8C"/>
    <w:rsid w:val="00FD6F29"/>
    <w:rsid w:val="00FD7366"/>
    <w:rsid w:val="00FD750F"/>
    <w:rsid w:val="00FD7FB8"/>
    <w:rsid w:val="00FE1358"/>
    <w:rsid w:val="00FE1DBA"/>
    <w:rsid w:val="00FE3541"/>
    <w:rsid w:val="00FE44D2"/>
    <w:rsid w:val="00FE4695"/>
    <w:rsid w:val="00FE6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5A572755-2D8E-1743-AB39-8B33836F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924724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43C80-1E55-D449-90D8-0F83ECF9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2</cp:revision>
  <dcterms:created xsi:type="dcterms:W3CDTF">2019-08-19T23:57:00Z</dcterms:created>
  <dcterms:modified xsi:type="dcterms:W3CDTF">2019-08-19T23:57:00Z</dcterms:modified>
</cp:coreProperties>
</file>