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2E96" w14:textId="130E2C2C" w:rsidR="00C7549F" w:rsidRPr="00D00306" w:rsidRDefault="00633E23" w:rsidP="00ED36C4">
      <w:pPr>
        <w:jc w:val="center"/>
        <w:rPr>
          <w:rFonts w:ascii="Times" w:hAnsi="Times"/>
          <w:b/>
          <w:sz w:val="28"/>
          <w:szCs w:val="28"/>
        </w:rPr>
      </w:pPr>
      <w:r w:rsidRPr="00D00306">
        <w:rPr>
          <w:rFonts w:ascii="Times" w:hAnsi="Times"/>
          <w:b/>
          <w:sz w:val="28"/>
          <w:szCs w:val="28"/>
        </w:rPr>
        <w:t>Consequential Validity</w:t>
      </w:r>
      <w:r w:rsidR="00ED36C4" w:rsidRPr="00D00306">
        <w:rPr>
          <w:rFonts w:ascii="Times" w:hAnsi="Times"/>
          <w:b/>
          <w:sz w:val="28"/>
          <w:szCs w:val="28"/>
        </w:rPr>
        <w:t xml:space="preserve"> 201</w:t>
      </w:r>
      <w:r w:rsidR="00EC7B08">
        <w:rPr>
          <w:rFonts w:ascii="Times" w:hAnsi="Times"/>
          <w:b/>
          <w:sz w:val="28"/>
          <w:szCs w:val="28"/>
        </w:rPr>
        <w:t>9</w:t>
      </w:r>
      <w:r w:rsidR="00ED36C4" w:rsidRPr="00D00306">
        <w:rPr>
          <w:rFonts w:ascii="Times" w:hAnsi="Times"/>
          <w:b/>
          <w:sz w:val="28"/>
          <w:szCs w:val="28"/>
        </w:rPr>
        <w:t xml:space="preserve"> ORExt Assessment </w:t>
      </w:r>
    </w:p>
    <w:p w14:paraId="645B540E" w14:textId="77777777" w:rsidR="00633E23" w:rsidRPr="00D00306" w:rsidRDefault="00633E23">
      <w:pPr>
        <w:rPr>
          <w:rFonts w:ascii="Times" w:hAnsi="Times"/>
          <w:sz w:val="28"/>
          <w:szCs w:val="28"/>
        </w:rPr>
      </w:pPr>
    </w:p>
    <w:p w14:paraId="1EB47D39" w14:textId="0C1FB844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7</w:t>
      </w:r>
      <w:r w:rsidR="00F00618">
        <w:rPr>
          <w:rFonts w:ascii="Times" w:hAnsi="Times"/>
          <w:sz w:val="28"/>
          <w:szCs w:val="28"/>
        </w:rPr>
        <w:t>7</w:t>
      </w:r>
      <w:r w:rsidRPr="00D00306">
        <w:rPr>
          <w:rFonts w:ascii="Times" w:hAnsi="Times"/>
          <w:sz w:val="28"/>
          <w:szCs w:val="28"/>
        </w:rPr>
        <w:t>.</w:t>
      </w:r>
      <w:r w:rsidR="00F00618">
        <w:rPr>
          <w:rFonts w:ascii="Times" w:hAnsi="Times"/>
          <w:sz w:val="28"/>
          <w:szCs w:val="28"/>
        </w:rPr>
        <w:t>7</w:t>
      </w:r>
      <w:r w:rsidRPr="00D00306">
        <w:rPr>
          <w:rFonts w:ascii="Times" w:hAnsi="Times"/>
          <w:sz w:val="28"/>
          <w:szCs w:val="28"/>
        </w:rPr>
        <w:t>% of respondents were Qualified Assessors</w:t>
      </w:r>
    </w:p>
    <w:p w14:paraId="0D34A8E9" w14:textId="123D477D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2</w:t>
      </w:r>
      <w:r w:rsidR="00F00618">
        <w:rPr>
          <w:rFonts w:ascii="Times" w:hAnsi="Times"/>
          <w:sz w:val="28"/>
          <w:szCs w:val="28"/>
        </w:rPr>
        <w:t>2</w:t>
      </w:r>
      <w:r w:rsidRPr="00D00306">
        <w:rPr>
          <w:rFonts w:ascii="Times" w:hAnsi="Times"/>
          <w:sz w:val="28"/>
          <w:szCs w:val="28"/>
        </w:rPr>
        <w:t>.</w:t>
      </w:r>
      <w:r w:rsidR="00F00618">
        <w:rPr>
          <w:rFonts w:ascii="Times" w:hAnsi="Times"/>
          <w:sz w:val="28"/>
          <w:szCs w:val="28"/>
        </w:rPr>
        <w:t>3</w:t>
      </w:r>
      <w:r w:rsidRPr="00D00306">
        <w:rPr>
          <w:rFonts w:ascii="Times" w:hAnsi="Times"/>
          <w:sz w:val="28"/>
          <w:szCs w:val="28"/>
        </w:rPr>
        <w:t>% of respondents were Qualified Trainers</w:t>
      </w:r>
    </w:p>
    <w:p w14:paraId="15680E8F" w14:textId="77777777" w:rsidR="00633E23" w:rsidRPr="00D00306" w:rsidRDefault="00633E23">
      <w:pPr>
        <w:rPr>
          <w:rFonts w:ascii="Times" w:hAnsi="Times"/>
          <w:sz w:val="28"/>
          <w:szCs w:val="28"/>
        </w:rPr>
      </w:pPr>
    </w:p>
    <w:p w14:paraId="5403425D" w14:textId="28FCA50F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83.</w:t>
      </w:r>
      <w:r w:rsidR="00F00618">
        <w:rPr>
          <w:rFonts w:ascii="Times" w:hAnsi="Times"/>
          <w:sz w:val="28"/>
          <w:szCs w:val="28"/>
        </w:rPr>
        <w:t>6</w:t>
      </w:r>
      <w:r w:rsidRPr="00D00306">
        <w:rPr>
          <w:rFonts w:ascii="Times" w:hAnsi="Times"/>
          <w:sz w:val="28"/>
          <w:szCs w:val="28"/>
        </w:rPr>
        <w:t>% respondents identified as Female</w:t>
      </w:r>
    </w:p>
    <w:p w14:paraId="1C15CF64" w14:textId="4FA368B4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1</w:t>
      </w:r>
      <w:r w:rsidR="00F00618">
        <w:rPr>
          <w:rFonts w:ascii="Times" w:hAnsi="Times"/>
          <w:sz w:val="28"/>
          <w:szCs w:val="28"/>
        </w:rPr>
        <w:t>3</w:t>
      </w:r>
      <w:r w:rsidRPr="00D00306">
        <w:rPr>
          <w:rFonts w:ascii="Times" w:hAnsi="Times"/>
          <w:sz w:val="28"/>
          <w:szCs w:val="28"/>
        </w:rPr>
        <w:t>.</w:t>
      </w:r>
      <w:r w:rsidR="00F00618">
        <w:rPr>
          <w:rFonts w:ascii="Times" w:hAnsi="Times"/>
          <w:sz w:val="28"/>
          <w:szCs w:val="28"/>
        </w:rPr>
        <w:t>9</w:t>
      </w:r>
      <w:r w:rsidRPr="00D00306">
        <w:rPr>
          <w:rFonts w:ascii="Times" w:hAnsi="Times"/>
          <w:sz w:val="28"/>
          <w:szCs w:val="28"/>
        </w:rPr>
        <w:t>% respondents identified as Male</w:t>
      </w:r>
    </w:p>
    <w:p w14:paraId="56A29871" w14:textId="57C14EE1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2.5% respondents identified as Genderqueer or “Other”</w:t>
      </w:r>
    </w:p>
    <w:p w14:paraId="2DFBEAE0" w14:textId="77777777" w:rsidR="00633E23" w:rsidRPr="00D00306" w:rsidRDefault="00633E23">
      <w:pPr>
        <w:rPr>
          <w:rFonts w:ascii="Times" w:hAnsi="Times"/>
          <w:sz w:val="28"/>
          <w:szCs w:val="28"/>
        </w:rPr>
      </w:pPr>
    </w:p>
    <w:p w14:paraId="6C510872" w14:textId="65E83888" w:rsidR="00633E23" w:rsidRPr="00D00306" w:rsidRDefault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20-25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Pr="00D00306">
        <w:rPr>
          <w:rFonts w:ascii="Times" w:hAnsi="Times"/>
          <w:sz w:val="28"/>
          <w:szCs w:val="28"/>
        </w:rPr>
        <w:t>1.7%</w:t>
      </w:r>
    </w:p>
    <w:p w14:paraId="52CBD468" w14:textId="41380523" w:rsidR="00F806B5" w:rsidRPr="00D00306" w:rsidRDefault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26-30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="00F00618">
        <w:rPr>
          <w:rFonts w:ascii="Times" w:hAnsi="Times"/>
          <w:sz w:val="28"/>
          <w:szCs w:val="28"/>
        </w:rPr>
        <w:t>10</w:t>
      </w:r>
      <w:r w:rsidRPr="00D00306">
        <w:rPr>
          <w:rFonts w:ascii="Times" w:hAnsi="Times"/>
          <w:sz w:val="28"/>
          <w:szCs w:val="28"/>
        </w:rPr>
        <w:t>%</w:t>
      </w:r>
    </w:p>
    <w:p w14:paraId="597FE9E7" w14:textId="756D8CB7" w:rsidR="00F806B5" w:rsidRPr="00D00306" w:rsidRDefault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31-35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="00F00618">
        <w:rPr>
          <w:rFonts w:ascii="Times" w:hAnsi="Times"/>
          <w:sz w:val="28"/>
          <w:szCs w:val="28"/>
        </w:rPr>
        <w:t>9.2</w:t>
      </w:r>
      <w:r w:rsidRPr="00D00306">
        <w:rPr>
          <w:rFonts w:ascii="Times" w:hAnsi="Times"/>
          <w:sz w:val="28"/>
          <w:szCs w:val="28"/>
        </w:rPr>
        <w:t>%</w:t>
      </w:r>
    </w:p>
    <w:p w14:paraId="253EB5EC" w14:textId="628012E5" w:rsidR="00F806B5" w:rsidRPr="00D00306" w:rsidRDefault="00F806B5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36-40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="00F00618">
        <w:rPr>
          <w:rFonts w:ascii="Times" w:hAnsi="Times"/>
          <w:sz w:val="28"/>
          <w:szCs w:val="28"/>
        </w:rPr>
        <w:t>10.0</w:t>
      </w:r>
      <w:r w:rsidRPr="00D00306">
        <w:rPr>
          <w:rFonts w:ascii="Times" w:hAnsi="Times"/>
          <w:sz w:val="28"/>
          <w:szCs w:val="28"/>
        </w:rPr>
        <w:t>%</w:t>
      </w:r>
    </w:p>
    <w:p w14:paraId="730757E5" w14:textId="0358D9E0" w:rsidR="00F806B5" w:rsidRPr="00D00306" w:rsidRDefault="00F806B5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41-45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Pr="00D00306">
        <w:rPr>
          <w:rFonts w:ascii="Times" w:hAnsi="Times"/>
          <w:sz w:val="28"/>
          <w:szCs w:val="28"/>
        </w:rPr>
        <w:t>1</w:t>
      </w:r>
      <w:r w:rsidR="00F00618">
        <w:rPr>
          <w:rFonts w:ascii="Times" w:hAnsi="Times"/>
          <w:sz w:val="28"/>
          <w:szCs w:val="28"/>
        </w:rPr>
        <w:t>8</w:t>
      </w:r>
      <w:r w:rsidRPr="00D00306">
        <w:rPr>
          <w:rFonts w:ascii="Times" w:hAnsi="Times"/>
          <w:sz w:val="28"/>
          <w:szCs w:val="28"/>
        </w:rPr>
        <w:t>.</w:t>
      </w:r>
      <w:r w:rsidR="00F00618">
        <w:rPr>
          <w:rFonts w:ascii="Times" w:hAnsi="Times"/>
          <w:sz w:val="28"/>
          <w:szCs w:val="28"/>
        </w:rPr>
        <w:t>3</w:t>
      </w:r>
      <w:r w:rsidRPr="00D00306">
        <w:rPr>
          <w:rFonts w:ascii="Times" w:hAnsi="Times"/>
          <w:sz w:val="28"/>
          <w:szCs w:val="28"/>
        </w:rPr>
        <w:t>%</w:t>
      </w:r>
    </w:p>
    <w:p w14:paraId="7BC3EF76" w14:textId="4B2A271B" w:rsidR="00F806B5" w:rsidRPr="00D00306" w:rsidRDefault="00F806B5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46-50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Pr="00D00306">
        <w:rPr>
          <w:rFonts w:ascii="Times" w:hAnsi="Times"/>
          <w:sz w:val="28"/>
          <w:szCs w:val="28"/>
        </w:rPr>
        <w:t>1</w:t>
      </w:r>
      <w:r w:rsidR="00F00618">
        <w:rPr>
          <w:rFonts w:ascii="Times" w:hAnsi="Times"/>
          <w:sz w:val="28"/>
          <w:szCs w:val="28"/>
        </w:rPr>
        <w:t>2</w:t>
      </w:r>
      <w:r w:rsidRPr="00D00306">
        <w:rPr>
          <w:rFonts w:ascii="Times" w:hAnsi="Times"/>
          <w:sz w:val="28"/>
          <w:szCs w:val="28"/>
        </w:rPr>
        <w:t>.</w:t>
      </w:r>
      <w:r w:rsidR="00F00618">
        <w:rPr>
          <w:rFonts w:ascii="Times" w:hAnsi="Times"/>
          <w:sz w:val="28"/>
          <w:szCs w:val="28"/>
        </w:rPr>
        <w:t>5</w:t>
      </w:r>
      <w:r w:rsidRPr="00D00306">
        <w:rPr>
          <w:rFonts w:ascii="Times" w:hAnsi="Times"/>
          <w:sz w:val="28"/>
          <w:szCs w:val="28"/>
        </w:rPr>
        <w:t>%</w:t>
      </w:r>
    </w:p>
    <w:p w14:paraId="26C68B10" w14:textId="2DC026C3" w:rsidR="00F806B5" w:rsidRPr="00D00306" w:rsidRDefault="00F806B5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in the 51+ years of age group category =</w:t>
      </w:r>
      <w:r w:rsidR="00A826AD" w:rsidRPr="00D00306">
        <w:rPr>
          <w:rFonts w:ascii="Times" w:hAnsi="Times"/>
          <w:sz w:val="28"/>
          <w:szCs w:val="28"/>
        </w:rPr>
        <w:t xml:space="preserve"> </w:t>
      </w:r>
      <w:r w:rsidRPr="00D00306">
        <w:rPr>
          <w:rFonts w:ascii="Times" w:hAnsi="Times"/>
          <w:sz w:val="28"/>
          <w:szCs w:val="28"/>
        </w:rPr>
        <w:t>3</w:t>
      </w:r>
      <w:r w:rsidR="00F00618">
        <w:rPr>
          <w:rFonts w:ascii="Times" w:hAnsi="Times"/>
          <w:sz w:val="28"/>
          <w:szCs w:val="28"/>
        </w:rPr>
        <w:t>8.3</w:t>
      </w:r>
      <w:r w:rsidRPr="00D00306">
        <w:rPr>
          <w:rFonts w:ascii="Times" w:hAnsi="Times"/>
          <w:sz w:val="28"/>
          <w:szCs w:val="28"/>
        </w:rPr>
        <w:t>%</w:t>
      </w:r>
    </w:p>
    <w:p w14:paraId="72FC7F17" w14:textId="77777777" w:rsidR="00F806B5" w:rsidRPr="00D00306" w:rsidRDefault="00F806B5">
      <w:pPr>
        <w:rPr>
          <w:rFonts w:ascii="Times" w:hAnsi="Times"/>
          <w:sz w:val="28"/>
          <w:szCs w:val="28"/>
        </w:rPr>
      </w:pPr>
    </w:p>
    <w:p w14:paraId="346E7036" w14:textId="34B08F92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0-3 years of expe</w:t>
      </w:r>
      <w:r w:rsidR="00F00618">
        <w:rPr>
          <w:rFonts w:ascii="Times" w:hAnsi="Times"/>
          <w:sz w:val="28"/>
          <w:szCs w:val="28"/>
        </w:rPr>
        <w:t>rience working in education = 9</w:t>
      </w:r>
      <w:r w:rsidRPr="00D00306">
        <w:rPr>
          <w:rFonts w:ascii="Times" w:hAnsi="Times"/>
          <w:sz w:val="28"/>
          <w:szCs w:val="28"/>
        </w:rPr>
        <w:t>%</w:t>
      </w:r>
    </w:p>
    <w:p w14:paraId="23EDFAF5" w14:textId="04CCC2BF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4-7 years of experience working in education = 15.</w:t>
      </w:r>
      <w:r w:rsidR="00F00618">
        <w:rPr>
          <w:rFonts w:ascii="Times" w:hAnsi="Times"/>
          <w:sz w:val="28"/>
          <w:szCs w:val="28"/>
        </w:rPr>
        <w:t>6</w:t>
      </w:r>
      <w:r w:rsidRPr="00D00306">
        <w:rPr>
          <w:rFonts w:ascii="Times" w:hAnsi="Times"/>
          <w:sz w:val="28"/>
          <w:szCs w:val="28"/>
        </w:rPr>
        <w:t>%</w:t>
      </w:r>
    </w:p>
    <w:p w14:paraId="443C12AD" w14:textId="4EE57824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8-11 years of exper</w:t>
      </w:r>
      <w:r w:rsidR="00F00618">
        <w:rPr>
          <w:rFonts w:ascii="Times" w:hAnsi="Times"/>
          <w:sz w:val="28"/>
          <w:szCs w:val="28"/>
        </w:rPr>
        <w:t>ience working in education = 6.6</w:t>
      </w:r>
      <w:r w:rsidRPr="00D00306">
        <w:rPr>
          <w:rFonts w:ascii="Times" w:hAnsi="Times"/>
          <w:sz w:val="28"/>
          <w:szCs w:val="28"/>
        </w:rPr>
        <w:t>%</w:t>
      </w:r>
    </w:p>
    <w:p w14:paraId="14883C70" w14:textId="094C2C9C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12-15 years of experience working in education = 16.</w:t>
      </w:r>
      <w:r w:rsidR="00F00618">
        <w:rPr>
          <w:rFonts w:ascii="Times" w:hAnsi="Times"/>
          <w:sz w:val="28"/>
          <w:szCs w:val="28"/>
        </w:rPr>
        <w:t>4</w:t>
      </w:r>
      <w:r w:rsidRPr="00D00306">
        <w:rPr>
          <w:rFonts w:ascii="Times" w:hAnsi="Times"/>
          <w:sz w:val="28"/>
          <w:szCs w:val="28"/>
        </w:rPr>
        <w:t>%</w:t>
      </w:r>
    </w:p>
    <w:p w14:paraId="506DD726" w14:textId="16EA4397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16-20 years of experience working in education = 2</w:t>
      </w:r>
      <w:r w:rsidR="00F00618">
        <w:rPr>
          <w:rFonts w:ascii="Times" w:hAnsi="Times"/>
          <w:sz w:val="28"/>
          <w:szCs w:val="28"/>
        </w:rPr>
        <w:t>1</w:t>
      </w:r>
      <w:r w:rsidRPr="00D00306">
        <w:rPr>
          <w:rFonts w:ascii="Times" w:hAnsi="Times"/>
          <w:sz w:val="28"/>
          <w:szCs w:val="28"/>
        </w:rPr>
        <w:t>.</w:t>
      </w:r>
      <w:r w:rsidR="00F00618">
        <w:rPr>
          <w:rFonts w:ascii="Times" w:hAnsi="Times"/>
          <w:sz w:val="28"/>
          <w:szCs w:val="28"/>
        </w:rPr>
        <w:t>3</w:t>
      </w:r>
      <w:r w:rsidRPr="00D00306">
        <w:rPr>
          <w:rFonts w:ascii="Times" w:hAnsi="Times"/>
          <w:sz w:val="28"/>
          <w:szCs w:val="28"/>
        </w:rPr>
        <w:t>%</w:t>
      </w:r>
    </w:p>
    <w:p w14:paraId="58435C33" w14:textId="5D22C52E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21-25 years of experience working in education = 1</w:t>
      </w:r>
      <w:r w:rsidR="00F00618">
        <w:rPr>
          <w:rFonts w:ascii="Times" w:hAnsi="Times"/>
          <w:sz w:val="28"/>
          <w:szCs w:val="28"/>
        </w:rPr>
        <w:t>3</w:t>
      </w:r>
      <w:r w:rsidRPr="00D00306">
        <w:rPr>
          <w:rFonts w:ascii="Times" w:hAnsi="Times"/>
          <w:sz w:val="28"/>
          <w:szCs w:val="28"/>
        </w:rPr>
        <w:t>.</w:t>
      </w:r>
      <w:r w:rsidR="00F00618">
        <w:rPr>
          <w:rFonts w:ascii="Times" w:hAnsi="Times"/>
          <w:sz w:val="28"/>
          <w:szCs w:val="28"/>
        </w:rPr>
        <w:t>1</w:t>
      </w:r>
      <w:r w:rsidRPr="00D00306">
        <w:rPr>
          <w:rFonts w:ascii="Times" w:hAnsi="Times"/>
          <w:sz w:val="28"/>
          <w:szCs w:val="28"/>
        </w:rPr>
        <w:t>%</w:t>
      </w:r>
    </w:p>
    <w:p w14:paraId="28D920C5" w14:textId="29A97E95" w:rsidR="00633E23" w:rsidRPr="00D00306" w:rsidRDefault="00633E23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26-30 years of experience working in education = 10.</w:t>
      </w:r>
      <w:r w:rsidR="00F00618">
        <w:rPr>
          <w:rFonts w:ascii="Times" w:hAnsi="Times"/>
          <w:sz w:val="28"/>
          <w:szCs w:val="28"/>
        </w:rPr>
        <w:t>7</w:t>
      </w:r>
      <w:r w:rsidRPr="00D00306">
        <w:rPr>
          <w:rFonts w:ascii="Times" w:hAnsi="Times"/>
          <w:sz w:val="28"/>
          <w:szCs w:val="28"/>
        </w:rPr>
        <w:t>%</w:t>
      </w:r>
    </w:p>
    <w:p w14:paraId="0E5FB1D2" w14:textId="05EA2F00" w:rsidR="00F806B5" w:rsidRPr="00F806B5" w:rsidRDefault="00633E23" w:rsidP="00F806B5">
      <w:pPr>
        <w:rPr>
          <w:rFonts w:ascii="Times" w:hAnsi="Times"/>
          <w:sz w:val="28"/>
          <w:szCs w:val="28"/>
        </w:rPr>
      </w:pPr>
      <w:r w:rsidRPr="00D00306">
        <w:rPr>
          <w:rFonts w:ascii="Times" w:hAnsi="Times"/>
          <w:sz w:val="28"/>
          <w:szCs w:val="28"/>
        </w:rPr>
        <w:t>Respondents with 31+ years of experience working in education = 7.</w:t>
      </w:r>
      <w:r w:rsidR="00F00618">
        <w:rPr>
          <w:rFonts w:ascii="Times" w:hAnsi="Times"/>
          <w:sz w:val="28"/>
          <w:szCs w:val="28"/>
        </w:rPr>
        <w:t>4</w:t>
      </w:r>
      <w:r w:rsidRPr="00D00306">
        <w:rPr>
          <w:rFonts w:ascii="Times" w:hAnsi="Times"/>
          <w:sz w:val="28"/>
          <w:szCs w:val="28"/>
        </w:rPr>
        <w:t>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  <w:gridCol w:w="799"/>
      </w:tblGrid>
      <w:tr w:rsidR="00F806B5" w:rsidRPr="00F806B5" w14:paraId="399869FA" w14:textId="77777777" w:rsidTr="00F806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C81EA" w14:textId="77777777" w:rsidR="00F806B5" w:rsidRPr="00D00306" w:rsidRDefault="00F806B5" w:rsidP="00F806B5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</w:p>
          <w:p w14:paraId="08358B20" w14:textId="50D0D290" w:rsidR="00F806B5" w:rsidRPr="00F806B5" w:rsidRDefault="00F806B5" w:rsidP="00F806B5">
            <w:pPr>
              <w:shd w:val="clear" w:color="auto" w:fill="FFFFFF"/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</w:pPr>
            <w:r w:rsidRPr="00D00306">
              <w:rPr>
                <w:rFonts w:ascii="Times" w:eastAsia="Times New Roman" w:hAnsi="Times" w:cs="Times New Roman"/>
                <w:color w:val="000000"/>
                <w:sz w:val="28"/>
                <w:szCs w:val="28"/>
              </w:rPr>
              <w:t>Region that best describes the portion of Oregon where respondents work:</w:t>
            </w:r>
          </w:p>
        </w:tc>
        <w:tc>
          <w:tcPr>
            <w:tcW w:w="0" w:type="auto"/>
            <w:vAlign w:val="center"/>
            <w:hideMark/>
          </w:tcPr>
          <w:p w14:paraId="09270932" w14:textId="77777777" w:rsidR="00F806B5" w:rsidRPr="00F806B5" w:rsidRDefault="00F806B5" w:rsidP="00F806B5">
            <w:pPr>
              <w:jc w:val="center"/>
              <w:rPr>
                <w:rFonts w:ascii="Times" w:eastAsia="Times New Roman" w:hAnsi="Times" w:cs="Times New Roman"/>
                <w:sz w:val="28"/>
                <w:szCs w:val="28"/>
              </w:rPr>
            </w:pPr>
          </w:p>
        </w:tc>
      </w:tr>
      <w:tr w:rsidR="00F806B5" w:rsidRPr="00F806B5" w14:paraId="5EA2BA89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6791C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Northeast (Pendleton, LaGrande Areas)</w:t>
            </w:r>
          </w:p>
        </w:tc>
        <w:tc>
          <w:tcPr>
            <w:tcW w:w="0" w:type="auto"/>
            <w:vAlign w:val="center"/>
            <w:hideMark/>
          </w:tcPr>
          <w:p w14:paraId="0A00E01F" w14:textId="6A4D9A18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1</w:t>
            </w:r>
            <w:r w:rsidR="00F00618">
              <w:rPr>
                <w:rFonts w:ascii="Times" w:eastAsia="Times New Roman" w:hAnsi="Times" w:cs="Times New Roman"/>
                <w:sz w:val="28"/>
                <w:szCs w:val="28"/>
              </w:rPr>
              <w:t>1.5</w:t>
            </w:r>
            <w:r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3E9D0429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F93B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North I-5 Corridor (Portland, Beaverton, Hillsboro Areas)</w:t>
            </w:r>
          </w:p>
        </w:tc>
        <w:tc>
          <w:tcPr>
            <w:tcW w:w="0" w:type="auto"/>
            <w:vAlign w:val="center"/>
            <w:hideMark/>
          </w:tcPr>
          <w:p w14:paraId="22980FA5" w14:textId="0E8F8F99" w:rsidR="00F806B5" w:rsidRPr="00F806B5" w:rsidRDefault="00F00618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36.1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3FF3A669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5CDB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North Coast (Astoria, Seaside, Lincoln City Areas)</w:t>
            </w:r>
          </w:p>
        </w:tc>
        <w:tc>
          <w:tcPr>
            <w:tcW w:w="0" w:type="auto"/>
            <w:vAlign w:val="center"/>
            <w:hideMark/>
          </w:tcPr>
          <w:p w14:paraId="50B80DBB" w14:textId="5FF9B50C" w:rsidR="00F806B5" w:rsidRPr="00F806B5" w:rsidRDefault="00F00618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2.5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70BCEC5F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DE12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Central (Bend, LaPine, Redmond, Madras, Prineville Areas)</w:t>
            </w:r>
          </w:p>
        </w:tc>
        <w:tc>
          <w:tcPr>
            <w:tcW w:w="0" w:type="auto"/>
            <w:vAlign w:val="center"/>
            <w:hideMark/>
          </w:tcPr>
          <w:p w14:paraId="23AAF670" w14:textId="5EBA8A2D" w:rsidR="00F806B5" w:rsidRPr="00F806B5" w:rsidRDefault="00F00618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6.6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1D993DB8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DB02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Central I-5 Corridor (Eugene, Corvallis, Salem Areas)</w:t>
            </w:r>
          </w:p>
        </w:tc>
        <w:tc>
          <w:tcPr>
            <w:tcW w:w="0" w:type="auto"/>
            <w:vAlign w:val="center"/>
            <w:hideMark/>
          </w:tcPr>
          <w:p w14:paraId="0D12998C" w14:textId="6D16DBB0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3</w:t>
            </w:r>
            <w:r w:rsidR="00F00618">
              <w:rPr>
                <w:rFonts w:ascii="Times" w:eastAsia="Times New Roman" w:hAnsi="Times" w:cs="Times New Roman"/>
                <w:sz w:val="28"/>
                <w:szCs w:val="28"/>
              </w:rPr>
              <w:t>2</w:t>
            </w:r>
            <w:r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374D3D13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1759E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Central Coast (Depoe Bay, Newport, Florence, Winchester Bay Areas)</w:t>
            </w:r>
          </w:p>
        </w:tc>
        <w:tc>
          <w:tcPr>
            <w:tcW w:w="0" w:type="auto"/>
            <w:vAlign w:val="center"/>
            <w:hideMark/>
          </w:tcPr>
          <w:p w14:paraId="5669E399" w14:textId="383078A4" w:rsidR="00F806B5" w:rsidRPr="00F806B5" w:rsidRDefault="00F00618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1.6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0B1A3010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CC93C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Southeast (Burns Area)</w:t>
            </w:r>
          </w:p>
        </w:tc>
        <w:tc>
          <w:tcPr>
            <w:tcW w:w="0" w:type="auto"/>
            <w:vAlign w:val="center"/>
            <w:hideMark/>
          </w:tcPr>
          <w:p w14:paraId="3630D9A4" w14:textId="74DD07CA" w:rsidR="00F806B5" w:rsidRPr="00F806B5" w:rsidRDefault="00F00618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1.6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2BBC5E04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2943B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South I-5 Corridor (Roseburg, Grants Pass, Medford Ashland Areas)</w:t>
            </w:r>
          </w:p>
        </w:tc>
        <w:tc>
          <w:tcPr>
            <w:tcW w:w="0" w:type="auto"/>
            <w:vAlign w:val="center"/>
            <w:hideMark/>
          </w:tcPr>
          <w:p w14:paraId="0BED5AAD" w14:textId="0E1404B9" w:rsidR="00F806B5" w:rsidRPr="00F806B5" w:rsidRDefault="00F00618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>
              <w:rPr>
                <w:rFonts w:ascii="Times" w:eastAsia="Times New Roman" w:hAnsi="Times" w:cs="Times New Roman"/>
                <w:sz w:val="28"/>
                <w:szCs w:val="28"/>
              </w:rPr>
              <w:t>8.2</w:t>
            </w:r>
            <w:r w:rsidR="00F806B5"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  <w:tr w:rsidR="00F806B5" w:rsidRPr="00F806B5" w14:paraId="12158EEE" w14:textId="77777777" w:rsidTr="00F806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77A5" w14:textId="77777777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South Coast (Bandon, Port Orford, Brookings Areas)</w:t>
            </w:r>
          </w:p>
        </w:tc>
        <w:tc>
          <w:tcPr>
            <w:tcW w:w="0" w:type="auto"/>
            <w:vAlign w:val="center"/>
            <w:hideMark/>
          </w:tcPr>
          <w:p w14:paraId="734DFDFC" w14:textId="13764586" w:rsidR="00F806B5" w:rsidRPr="00F806B5" w:rsidRDefault="00F806B5" w:rsidP="00F806B5">
            <w:p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F806B5">
              <w:rPr>
                <w:rFonts w:ascii="Times" w:eastAsia="Times New Roman" w:hAnsi="Times" w:cs="Times New Roman"/>
                <w:sz w:val="28"/>
                <w:szCs w:val="28"/>
              </w:rPr>
              <w:t>0</w:t>
            </w:r>
            <w:r w:rsidRPr="00D00306">
              <w:rPr>
                <w:rFonts w:ascii="Times" w:eastAsia="Times New Roman" w:hAnsi="Times" w:cs="Times New Roman"/>
                <w:sz w:val="28"/>
                <w:szCs w:val="28"/>
              </w:rPr>
              <w:t>%</w:t>
            </w:r>
          </w:p>
        </w:tc>
      </w:tr>
    </w:tbl>
    <w:p w14:paraId="3F0CAC94" w14:textId="77777777" w:rsidR="00F806B5" w:rsidRPr="00D00306" w:rsidRDefault="00F806B5">
      <w:pPr>
        <w:rPr>
          <w:rFonts w:ascii="Times" w:hAnsi="Times"/>
          <w:sz w:val="28"/>
          <w:szCs w:val="28"/>
        </w:rPr>
      </w:pPr>
    </w:p>
    <w:p w14:paraId="483FDE47" w14:textId="18CDEB35" w:rsidR="0055680A" w:rsidRPr="00D00306" w:rsidRDefault="0055680A" w:rsidP="0055680A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lastRenderedPageBreak/>
        <w:t>5</w:t>
      </w:r>
      <w:r w:rsidR="00CD3E3C">
        <w:rPr>
          <w:rFonts w:ascii="Times" w:eastAsia="Times New Roman" w:hAnsi="Times" w:cs="Times New Roman"/>
          <w:sz w:val="28"/>
          <w:szCs w:val="28"/>
        </w:rPr>
        <w:t>8</w:t>
      </w:r>
      <w:r>
        <w:rPr>
          <w:rFonts w:ascii="Times" w:eastAsia="Times New Roman" w:hAnsi="Times" w:cs="Times New Roman"/>
          <w:sz w:val="28"/>
          <w:szCs w:val="28"/>
        </w:rPr>
        <w:t>.6% of respondents said a single content area (ELA, Math, or Science) administration of the Oregon Extended Assessment took between one and two hours to complete from start to finish, per student.</w:t>
      </w:r>
    </w:p>
    <w:p w14:paraId="1C501B9C" w14:textId="77777777" w:rsidR="0055680A" w:rsidRDefault="0055680A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</w:p>
    <w:p w14:paraId="3B55E897" w14:textId="53AEB259" w:rsidR="00F806B5" w:rsidRPr="00D00306" w:rsidRDefault="00CD3E3C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97.6</w:t>
      </w:r>
      <w:r w:rsidR="00F806B5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% of respondents 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strongly agreed or agreed </w:t>
      </w:r>
      <w:r w:rsidR="00F806B5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t</w:t>
      </w:r>
      <w:r w:rsidR="00F806B5" w:rsidRPr="00F806B5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he items on the Oregon Extended Assessment were easy to administer and score.</w:t>
      </w:r>
    </w:p>
    <w:p w14:paraId="4B8AD2ED" w14:textId="77777777" w:rsidR="00ED36C4" w:rsidRPr="00D00306" w:rsidRDefault="00ED36C4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</w:p>
    <w:p w14:paraId="41C59AB3" w14:textId="1E6D7398" w:rsidR="00ED36C4" w:rsidRPr="00D00306" w:rsidRDefault="00CD3E3C" w:rsidP="00ED36C4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77.5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% of respondents strongly agreed or agreed 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he items on the Oregon Extended Assessment were accessible for 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their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Students </w:t>
      </w:r>
      <w:proofErr w:type="gramStart"/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With</w:t>
      </w:r>
      <w:proofErr w:type="gramEnd"/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Significant Cognitive Disabilities (SWSCD).</w:t>
      </w:r>
    </w:p>
    <w:p w14:paraId="21D77C54" w14:textId="77777777" w:rsidR="00ED36C4" w:rsidRPr="00D00306" w:rsidRDefault="00ED36C4" w:rsidP="00ED36C4">
      <w:pP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</w:pPr>
    </w:p>
    <w:p w14:paraId="59E7CEDF" w14:textId="421558A7" w:rsidR="00ED36C4" w:rsidRPr="00ED36C4" w:rsidRDefault="00CD3E3C" w:rsidP="00ED36C4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7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.6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% of respondents strongly agreed or agreed t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he items on the Oregon Extended Assessment accurately reflect the academic content (what the student should know) that 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their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Students </w:t>
      </w:r>
      <w:proofErr w:type="gramStart"/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With</w:t>
      </w:r>
      <w:proofErr w:type="gramEnd"/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Significant Cognitive Disabilities should be learning, as defined by grade level content standards (CCSS &amp; NGSS) and the Essentialized Assessment Frameworks.</w:t>
      </w:r>
    </w:p>
    <w:p w14:paraId="62C95684" w14:textId="77777777" w:rsidR="00ED36C4" w:rsidRPr="00ED36C4" w:rsidRDefault="00ED36C4" w:rsidP="00ED36C4">
      <w:pPr>
        <w:rPr>
          <w:rFonts w:ascii="Times" w:eastAsia="Times New Roman" w:hAnsi="Times" w:cs="Times New Roman"/>
          <w:sz w:val="28"/>
          <w:szCs w:val="28"/>
        </w:rPr>
      </w:pPr>
    </w:p>
    <w:p w14:paraId="1D3ED93F" w14:textId="361031FB" w:rsidR="00ED36C4" w:rsidRPr="00ED36C4" w:rsidRDefault="00CD3E3C" w:rsidP="00ED36C4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85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% of respondents strongly agree or agree t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he items on the Oregon Extended Assessment, which primarily ask students to match, identify, or recognize academic content, are appropriate behaviors to review, to determine what 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their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Students </w:t>
      </w:r>
      <w:r w:rsidR="00FF10EA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w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ith Significant Cognitive Disabilities are able to do.</w:t>
      </w:r>
    </w:p>
    <w:p w14:paraId="27CABD38" w14:textId="77777777" w:rsidR="00ED36C4" w:rsidRPr="00D00306" w:rsidRDefault="00ED36C4">
      <w:pPr>
        <w:rPr>
          <w:rFonts w:ascii="Times" w:eastAsia="Times New Roman" w:hAnsi="Times" w:cs="Times New Roman"/>
          <w:sz w:val="28"/>
          <w:szCs w:val="28"/>
        </w:rPr>
      </w:pPr>
    </w:p>
    <w:p w14:paraId="2329A5AB" w14:textId="703E085B" w:rsidR="00ED36C4" w:rsidRPr="00ED36C4" w:rsidRDefault="00FF10EA" w:rsidP="00ED36C4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75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% of respondents strongly agree or agree they have the curricula 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need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ed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to teach academic skills that are aligned to the Essentialized Assessment Frameworks for students who take the Oregon Extended Assessment.</w:t>
      </w:r>
    </w:p>
    <w:p w14:paraId="4ADCC87D" w14:textId="77777777" w:rsidR="00B616F4" w:rsidRPr="00D00306" w:rsidRDefault="00B616F4">
      <w:pPr>
        <w:rPr>
          <w:rFonts w:ascii="Times" w:eastAsia="Times New Roman" w:hAnsi="Times" w:cs="Times New Roman"/>
          <w:sz w:val="28"/>
          <w:szCs w:val="28"/>
        </w:rPr>
      </w:pPr>
    </w:p>
    <w:p w14:paraId="33F6BE83" w14:textId="0A9C41C9" w:rsidR="00ED36C4" w:rsidRPr="00ED36C4" w:rsidRDefault="00CD3E3C" w:rsidP="00ED36C4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70.2</w:t>
      </w:r>
      <w:r w:rsidR="00ED36C4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>% of respondents strongly agree or agree they</w:t>
      </w:r>
      <w:r w:rsidR="00ED36C4" w:rsidRPr="00ED36C4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 feel confident in interpreting the scores and their respective achievement level descriptors, published for the Oregon Extended Assessment.</w:t>
      </w:r>
    </w:p>
    <w:p w14:paraId="2F93E383" w14:textId="77777777" w:rsidR="00ED36C4" w:rsidRPr="00D00306" w:rsidRDefault="00ED36C4">
      <w:pPr>
        <w:rPr>
          <w:rFonts w:ascii="Times" w:eastAsia="Times New Roman" w:hAnsi="Times" w:cs="Times New Roman"/>
          <w:sz w:val="28"/>
          <w:szCs w:val="28"/>
        </w:rPr>
      </w:pPr>
    </w:p>
    <w:p w14:paraId="2229B53A" w14:textId="47AC2E32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>The implementation of the 2017-18 Oregon Extended Assessment has:</w:t>
      </w:r>
    </w:p>
    <w:p w14:paraId="5095B153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351A2939" w14:textId="0DBE6509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>6</w:t>
      </w:r>
      <w:r w:rsidR="00FF10EA">
        <w:rPr>
          <w:rFonts w:ascii="Times" w:eastAsia="Times New Roman" w:hAnsi="Times" w:cs="Times New Roman"/>
          <w:sz w:val="28"/>
          <w:szCs w:val="28"/>
        </w:rPr>
        <w:t>8</w:t>
      </w:r>
      <w:r w:rsidRPr="00D00306">
        <w:rPr>
          <w:rFonts w:ascii="Times" w:eastAsia="Times New Roman" w:hAnsi="Times" w:cs="Times New Roman"/>
          <w:sz w:val="28"/>
          <w:szCs w:val="28"/>
        </w:rPr>
        <w:t>.</w:t>
      </w:r>
      <w:r w:rsidR="00FF10EA">
        <w:rPr>
          <w:rFonts w:ascii="Times" w:eastAsia="Times New Roman" w:hAnsi="Times" w:cs="Times New Roman"/>
          <w:sz w:val="28"/>
          <w:szCs w:val="28"/>
        </w:rPr>
        <w:t>3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ncreased educator understanding of academic content for Students </w:t>
      </w:r>
      <w:proofErr w:type="gramStart"/>
      <w:r w:rsidRPr="00D00306">
        <w:rPr>
          <w:rFonts w:ascii="Times" w:eastAsia="Times New Roman" w:hAnsi="Times" w:cs="Times New Roman"/>
          <w:sz w:val="28"/>
          <w:szCs w:val="28"/>
        </w:rPr>
        <w:t>With</w:t>
      </w:r>
      <w:proofErr w:type="gramEnd"/>
      <w:r w:rsidRPr="00D00306">
        <w:rPr>
          <w:rFonts w:ascii="Times" w:eastAsia="Times New Roman" w:hAnsi="Times" w:cs="Times New Roman"/>
          <w:sz w:val="28"/>
          <w:szCs w:val="28"/>
        </w:rPr>
        <w:t xml:space="preserve"> Significant Cognitive Disabilities.</w:t>
      </w:r>
    </w:p>
    <w:p w14:paraId="19C09C50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0D3976C4" w14:textId="228E851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 xml:space="preserve">72.5%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p</w:t>
      </w:r>
      <w:r w:rsidRPr="00D00306">
        <w:rPr>
          <w:rFonts w:ascii="Times" w:eastAsia="Times New Roman" w:hAnsi="Times" w:cs="Times New Roman"/>
          <w:sz w:val="28"/>
          <w:szCs w:val="28"/>
        </w:rPr>
        <w:t>rovided new models for assessing ELA/Math/Science for Students With Significant Cognitive Disabilities.</w:t>
      </w:r>
    </w:p>
    <w:p w14:paraId="568DB461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154DDBE9" w14:textId="5C36D100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lastRenderedPageBreak/>
        <w:t>50</w:t>
      </w:r>
      <w:r w:rsidR="00FF10EA">
        <w:rPr>
          <w:rFonts w:ascii="Times" w:eastAsia="Times New Roman" w:hAnsi="Times" w:cs="Times New Roman"/>
          <w:sz w:val="28"/>
          <w:szCs w:val="28"/>
        </w:rPr>
        <w:t>.8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p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ositively impacted the curricular and instructional approaches used for Students </w:t>
      </w:r>
      <w:proofErr w:type="gramStart"/>
      <w:r w:rsidRPr="00D00306">
        <w:rPr>
          <w:rFonts w:ascii="Times" w:eastAsia="Times New Roman" w:hAnsi="Times" w:cs="Times New Roman"/>
          <w:sz w:val="28"/>
          <w:szCs w:val="28"/>
        </w:rPr>
        <w:t>With</w:t>
      </w:r>
      <w:proofErr w:type="gramEnd"/>
      <w:r w:rsidRPr="00D00306">
        <w:rPr>
          <w:rFonts w:ascii="Times" w:eastAsia="Times New Roman" w:hAnsi="Times" w:cs="Times New Roman"/>
          <w:sz w:val="28"/>
          <w:szCs w:val="28"/>
        </w:rPr>
        <w:t xml:space="preserve"> Significant Cognitive Disabilities in Oregon.</w:t>
      </w:r>
    </w:p>
    <w:p w14:paraId="4F16C29B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37349A83" w14:textId="163546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>5</w:t>
      </w:r>
      <w:r w:rsidR="00FF10EA">
        <w:rPr>
          <w:rFonts w:ascii="Times" w:eastAsia="Times New Roman" w:hAnsi="Times" w:cs="Times New Roman"/>
          <w:sz w:val="28"/>
          <w:szCs w:val="28"/>
        </w:rPr>
        <w:t>4</w:t>
      </w:r>
      <w:r w:rsidRPr="00D00306">
        <w:rPr>
          <w:rFonts w:ascii="Times" w:eastAsia="Times New Roman" w:hAnsi="Times" w:cs="Times New Roman"/>
          <w:sz w:val="28"/>
          <w:szCs w:val="28"/>
        </w:rPr>
        <w:t>.</w:t>
      </w:r>
      <w:r w:rsidR="00FF10EA">
        <w:rPr>
          <w:rFonts w:ascii="Times" w:eastAsia="Times New Roman" w:hAnsi="Times" w:cs="Times New Roman"/>
          <w:sz w:val="28"/>
          <w:szCs w:val="28"/>
        </w:rPr>
        <w:t>2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>mproved the manner in which classroom assessments are designed and implemented.</w:t>
      </w:r>
    </w:p>
    <w:p w14:paraId="04DE355A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5BB16987" w14:textId="2A3AF3AA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>4</w:t>
      </w:r>
      <w:r w:rsidR="00FF10EA">
        <w:rPr>
          <w:rFonts w:ascii="Times" w:eastAsia="Times New Roman" w:hAnsi="Times" w:cs="Times New Roman"/>
          <w:sz w:val="28"/>
          <w:szCs w:val="28"/>
        </w:rPr>
        <w:t>8</w:t>
      </w:r>
      <w:r w:rsidRPr="00D00306">
        <w:rPr>
          <w:rFonts w:ascii="Times" w:eastAsia="Times New Roman" w:hAnsi="Times" w:cs="Times New Roman"/>
          <w:sz w:val="28"/>
          <w:szCs w:val="28"/>
        </w:rPr>
        <w:t>.</w:t>
      </w:r>
      <w:r w:rsidR="00FF10EA">
        <w:rPr>
          <w:rFonts w:ascii="Times" w:eastAsia="Times New Roman" w:hAnsi="Times" w:cs="Times New Roman"/>
          <w:sz w:val="28"/>
          <w:szCs w:val="28"/>
        </w:rPr>
        <w:t>3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mproved the learning outcomes for Students </w:t>
      </w:r>
      <w:proofErr w:type="gramStart"/>
      <w:r w:rsidRPr="00D00306">
        <w:rPr>
          <w:rFonts w:ascii="Times" w:eastAsia="Times New Roman" w:hAnsi="Times" w:cs="Times New Roman"/>
          <w:sz w:val="28"/>
          <w:szCs w:val="28"/>
        </w:rPr>
        <w:t>With</w:t>
      </w:r>
      <w:proofErr w:type="gramEnd"/>
      <w:r w:rsidRPr="00D00306">
        <w:rPr>
          <w:rFonts w:ascii="Times" w:eastAsia="Times New Roman" w:hAnsi="Times" w:cs="Times New Roman"/>
          <w:sz w:val="28"/>
          <w:szCs w:val="28"/>
        </w:rPr>
        <w:t xml:space="preserve"> Significant Cognitive Disabilities in Oregon.</w:t>
      </w:r>
    </w:p>
    <w:p w14:paraId="182497FC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4EE76248" w14:textId="35EE86F2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>4</w:t>
      </w:r>
      <w:r w:rsidR="00FF10EA">
        <w:rPr>
          <w:rFonts w:ascii="Times" w:eastAsia="Times New Roman" w:hAnsi="Times" w:cs="Times New Roman"/>
          <w:sz w:val="28"/>
          <w:szCs w:val="28"/>
        </w:rPr>
        <w:t>4</w:t>
      </w:r>
      <w:r w:rsidRPr="00D00306">
        <w:rPr>
          <w:rFonts w:ascii="Times" w:eastAsia="Times New Roman" w:hAnsi="Times" w:cs="Times New Roman"/>
          <w:sz w:val="28"/>
          <w:szCs w:val="28"/>
        </w:rPr>
        <w:t>.</w:t>
      </w:r>
      <w:r w:rsidR="00FF10EA">
        <w:rPr>
          <w:rFonts w:ascii="Times" w:eastAsia="Times New Roman" w:hAnsi="Times" w:cs="Times New Roman"/>
          <w:sz w:val="28"/>
          <w:szCs w:val="28"/>
        </w:rPr>
        <w:t>2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ncreased access to the general education curriculum for Students </w:t>
      </w:r>
      <w:proofErr w:type="gramStart"/>
      <w:r w:rsidRPr="00D00306">
        <w:rPr>
          <w:rFonts w:ascii="Times" w:eastAsia="Times New Roman" w:hAnsi="Times" w:cs="Times New Roman"/>
          <w:sz w:val="28"/>
          <w:szCs w:val="28"/>
        </w:rPr>
        <w:t>With</w:t>
      </w:r>
      <w:proofErr w:type="gramEnd"/>
      <w:r w:rsidRPr="00D00306">
        <w:rPr>
          <w:rFonts w:ascii="Times" w:eastAsia="Times New Roman" w:hAnsi="Times" w:cs="Times New Roman"/>
          <w:sz w:val="28"/>
          <w:szCs w:val="28"/>
        </w:rPr>
        <w:t xml:space="preserve"> Significant Cognitive Disabilities.</w:t>
      </w:r>
    </w:p>
    <w:p w14:paraId="0F453EAC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6E820341" w14:textId="31D7D909" w:rsidR="00D00306" w:rsidRPr="00D00306" w:rsidRDefault="00FF10EA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57.5</w:t>
      </w:r>
      <w:r w:rsidR="00D00306"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="00D00306" w:rsidRPr="00D00306">
        <w:rPr>
          <w:rFonts w:ascii="Times" w:eastAsia="Times New Roman" w:hAnsi="Times" w:cs="Times New Roman"/>
          <w:sz w:val="28"/>
          <w:szCs w:val="28"/>
        </w:rPr>
        <w:t xml:space="preserve">ncreased the development of academic goals and objectives in IEPs for Students </w:t>
      </w:r>
      <w:proofErr w:type="gramStart"/>
      <w:r w:rsidR="00D00306" w:rsidRPr="00D00306">
        <w:rPr>
          <w:rFonts w:ascii="Times" w:eastAsia="Times New Roman" w:hAnsi="Times" w:cs="Times New Roman"/>
          <w:sz w:val="28"/>
          <w:szCs w:val="28"/>
        </w:rPr>
        <w:t>With</w:t>
      </w:r>
      <w:proofErr w:type="gramEnd"/>
      <w:r w:rsidR="00D00306" w:rsidRPr="00D00306">
        <w:rPr>
          <w:rFonts w:ascii="Times" w:eastAsia="Times New Roman" w:hAnsi="Times" w:cs="Times New Roman"/>
          <w:sz w:val="28"/>
          <w:szCs w:val="28"/>
        </w:rPr>
        <w:t xml:space="preserve"> Significant Cognitive Disabilities.</w:t>
      </w:r>
    </w:p>
    <w:p w14:paraId="3064188D" w14:textId="77777777" w:rsidR="00D00306" w:rsidRPr="00D00306" w:rsidRDefault="00D00306">
      <w:pPr>
        <w:rPr>
          <w:rFonts w:ascii="Times" w:eastAsia="Times New Roman" w:hAnsi="Times" w:cs="Times New Roman"/>
          <w:sz w:val="28"/>
          <w:szCs w:val="28"/>
        </w:rPr>
      </w:pPr>
    </w:p>
    <w:p w14:paraId="0B0EB40A" w14:textId="6D2F28F0" w:rsidR="00D00306" w:rsidRDefault="00D00306">
      <w:pPr>
        <w:rPr>
          <w:rFonts w:ascii="Times" w:eastAsia="Times New Roman" w:hAnsi="Times" w:cs="Times New Roman"/>
          <w:sz w:val="28"/>
          <w:szCs w:val="28"/>
        </w:rPr>
      </w:pPr>
      <w:r w:rsidRPr="00D00306">
        <w:rPr>
          <w:rFonts w:ascii="Times" w:eastAsia="Times New Roman" w:hAnsi="Times" w:cs="Times New Roman"/>
          <w:sz w:val="28"/>
          <w:szCs w:val="28"/>
        </w:rPr>
        <w:t>5</w:t>
      </w:r>
      <w:r w:rsidR="00FF10EA">
        <w:rPr>
          <w:rFonts w:ascii="Times" w:eastAsia="Times New Roman" w:hAnsi="Times" w:cs="Times New Roman"/>
          <w:sz w:val="28"/>
          <w:szCs w:val="28"/>
        </w:rPr>
        <w:t>7</w:t>
      </w:r>
      <w:r w:rsidRPr="00D00306">
        <w:rPr>
          <w:rFonts w:ascii="Times" w:eastAsia="Times New Roman" w:hAnsi="Times" w:cs="Times New Roman"/>
          <w:sz w:val="28"/>
          <w:szCs w:val="28"/>
        </w:rPr>
        <w:t>.</w:t>
      </w:r>
      <w:r w:rsidR="00FF10EA">
        <w:rPr>
          <w:rFonts w:ascii="Times" w:eastAsia="Times New Roman" w:hAnsi="Times" w:cs="Times New Roman"/>
          <w:sz w:val="28"/>
          <w:szCs w:val="28"/>
        </w:rPr>
        <w:t>5</w:t>
      </w:r>
      <w:r w:rsidRPr="00D00306">
        <w:rPr>
          <w:rFonts w:ascii="Times" w:eastAsia="Times New Roman" w:hAnsi="Times" w:cs="Times New Roman"/>
          <w:sz w:val="28"/>
          <w:szCs w:val="28"/>
        </w:rPr>
        <w:t xml:space="preserve">% </w:t>
      </w:r>
      <w:r w:rsidR="00740B30" w:rsidRPr="00D00306">
        <w:rPr>
          <w:rFonts w:ascii="Times" w:eastAsia="Times New Roman" w:hAnsi="Times" w:cs="Times New Roman"/>
          <w:color w:val="000000"/>
          <w:sz w:val="28"/>
          <w:szCs w:val="28"/>
          <w:shd w:val="clear" w:color="auto" w:fill="FFFFFF"/>
        </w:rPr>
        <w:t xml:space="preserve">of respondents strongly agree or agree </w:t>
      </w:r>
      <w:r w:rsidR="00740B30">
        <w:rPr>
          <w:rFonts w:ascii="Times" w:eastAsia="Times New Roman" w:hAnsi="Times" w:cs="Times New Roman"/>
          <w:sz w:val="28"/>
          <w:szCs w:val="28"/>
        </w:rPr>
        <w:t>t</w:t>
      </w:r>
      <w:r w:rsidR="00740B30" w:rsidRPr="00D00306">
        <w:rPr>
          <w:rFonts w:ascii="Times" w:eastAsia="Times New Roman" w:hAnsi="Times" w:cs="Times New Roman"/>
          <w:sz w:val="28"/>
          <w:szCs w:val="28"/>
        </w:rPr>
        <w:t xml:space="preserve">he implementation of the 2017-18 Oregon Extended Assessment has </w:t>
      </w:r>
      <w:r w:rsidR="00740B30">
        <w:rPr>
          <w:rFonts w:ascii="Times" w:eastAsia="Times New Roman" w:hAnsi="Times" w:cs="Times New Roman"/>
          <w:sz w:val="28"/>
          <w:szCs w:val="28"/>
        </w:rPr>
        <w:t>i</w:t>
      </w:r>
      <w:r w:rsidRPr="00D00306">
        <w:rPr>
          <w:rFonts w:ascii="Times" w:eastAsia="Times New Roman" w:hAnsi="Times" w:cs="Times New Roman"/>
          <w:sz w:val="28"/>
          <w:szCs w:val="28"/>
        </w:rPr>
        <w:t>mproved the alignment between IEP goals and objectives and state content standards and benchmarks.</w:t>
      </w:r>
    </w:p>
    <w:p w14:paraId="1B6857B9" w14:textId="77777777" w:rsidR="00AC6302" w:rsidRDefault="00AC6302">
      <w:pPr>
        <w:rPr>
          <w:rFonts w:ascii="Times" w:eastAsia="Times New Roman" w:hAnsi="Times" w:cs="Times New Roman"/>
          <w:sz w:val="28"/>
          <w:szCs w:val="28"/>
        </w:rPr>
      </w:pPr>
      <w:bookmarkStart w:id="0" w:name="_GoBack"/>
      <w:bookmarkEnd w:id="0"/>
    </w:p>
    <w:sectPr w:rsidR="00AC6302" w:rsidSect="00A0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23"/>
    <w:rsid w:val="0055680A"/>
    <w:rsid w:val="00633E23"/>
    <w:rsid w:val="006A7D44"/>
    <w:rsid w:val="00740B30"/>
    <w:rsid w:val="0078389C"/>
    <w:rsid w:val="00A0434C"/>
    <w:rsid w:val="00A826AD"/>
    <w:rsid w:val="00AC6302"/>
    <w:rsid w:val="00B616F4"/>
    <w:rsid w:val="00CD3E3C"/>
    <w:rsid w:val="00D00306"/>
    <w:rsid w:val="00D329CA"/>
    <w:rsid w:val="00EA1F6D"/>
    <w:rsid w:val="00EC7B08"/>
    <w:rsid w:val="00ED36C4"/>
    <w:rsid w:val="00F00618"/>
    <w:rsid w:val="00F806B5"/>
    <w:rsid w:val="00F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81FE2"/>
  <w14:defaultImageDpi w14:val="32767"/>
  <w15:chartTrackingRefBased/>
  <w15:docId w15:val="{6B88CB58-6E91-C749-B348-52F6BC19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70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4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1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36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4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0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26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52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34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8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32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777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807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BRT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2</cp:revision>
  <dcterms:created xsi:type="dcterms:W3CDTF">2019-07-16T21:24:00Z</dcterms:created>
  <dcterms:modified xsi:type="dcterms:W3CDTF">2019-07-16T21:24:00Z</dcterms:modified>
</cp:coreProperties>
</file>