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6333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ÍNDICE MAESTRO DE NO CONFORMIDADES Y CONTROL DE CALIDAD</w:t>
              <w:br/>
            </w:r>
            <w:r>
              <w:rPr>
                <w:rFonts w:ascii="Arial" w:hAnsi="Arial"/>
                <w:b/>
                <w:color w:val="E29B2E"/>
                <w:sz w:val="20"/>
              </w:rPr>
              <w:t>SISTEMA DE GESTIÓN Y CONTROL DE COMBUSTIBLE — FUELTRACK ERP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TOTAL: 10 DEFECTOS AUDITADOS  •  10 CERRADOS (100% RESUELTOS)</w:t>
            </w:r>
          </w:p>
        </w:tc>
      </w:tr>
    </w:tbl>
    <w:p/>
    <w:p>
      <w:r>
        <w:rPr>
          <w:rFonts w:ascii="Arial" w:hAnsi="Arial"/>
          <w:b/>
          <w:color w:val="16333A"/>
          <w:sz w:val="22"/>
        </w:rPr>
        <w:t>1. RESUMEN EJECUTIVO DE ESTABILIZACIÓN Y CALIDAD</w:t>
      </w:r>
    </w:p>
    <w:p>
      <w:pPr>
        <w:spacing w:line="276" w:lineRule="auto"/>
      </w:pPr>
      <w:r>
        <w:rPr>
          <w:sz w:val="19"/>
        </w:rPr>
        <w:t>El presente índice consolida formalmente los diez (10) informes técnicos individuales de defectos, mejoras de interfaz, validaciones de dominio dominicano y robustecimiento de seguridad implementados en la plataforma FuelTrack. Todas las no conformidades fueron verificadas con 100% de pruebas exitosas en backend (284/284 pruebas unitarias en .NET 10) y compilación limpia sin errores de linter en frontend.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1987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Abiertos</w:t>
            </w:r>
          </w:p>
        </w:tc>
        <w:tc>
          <w:tcPr>
            <w:tcW w:type="dxa" w:w="1987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Resueltos</w:t>
            </w:r>
          </w:p>
        </w:tc>
        <w:tc>
          <w:tcPr>
            <w:tcW w:type="dxa" w:w="1987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Mitigados</w:t>
            </w:r>
          </w:p>
        </w:tc>
        <w:tc>
          <w:tcPr>
            <w:tcW w:type="dxa" w:w="1987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Crítica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2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Mayor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4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Media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4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F7F8F6"/>
          </w:tcPr>
          <w:p>
            <w:r>
              <w:rPr>
                <w:rFonts w:ascii="Arial" w:hAnsi="Arial"/>
                <w:b/>
                <w:sz w:val="18"/>
              </w:rPr>
              <w:t>Total General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F7F8F6"/>
          </w:tcPr>
          <w:p>
            <w:r>
              <w:rPr>
                <w:rFonts w:ascii="Arial" w:hAnsi="Arial"/>
                <w:b/>
                <w:sz w:val="18"/>
              </w:rPr>
              <w:t>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F7F8F6"/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10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F7F8F6"/>
          </w:tcPr>
          <w:p>
            <w:r>
              <w:rPr>
                <w:rFonts w:ascii="Arial" w:hAnsi="Arial"/>
                <w:b/>
                <w:sz w:val="18"/>
              </w:rPr>
              <w:t>0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  <w:shd w:fill="F7F8F6"/>
          </w:tcPr>
          <w:p>
            <w:r>
              <w:rPr>
                <w:rFonts w:ascii="Arial" w:hAnsi="Arial"/>
                <w:b/>
                <w:sz w:val="18"/>
              </w:rPr>
              <w:t>10</w:t>
            </w:r>
          </w:p>
        </w:tc>
      </w:tr>
    </w:tbl>
    <w:p/>
    <w:p>
      <w:r>
        <w:rPr>
          <w:rFonts w:ascii="Arial" w:hAnsi="Arial"/>
          <w:b/>
          <w:color w:val="16333A"/>
          <w:sz w:val="22"/>
        </w:rPr>
        <w:t>2. RELACIÓN MAESTRA DE INFORMES TÉCNICOS AUDITADOS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6333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1656"/>
            <w:shd w:fill="16333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1656"/>
            <w:shd w:fill="16333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Descripción de Corrección</w:t>
            </w:r>
          </w:p>
        </w:tc>
        <w:tc>
          <w:tcPr>
            <w:tcW w:type="dxa" w:w="1656"/>
            <w:shd w:fill="16333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656"/>
            <w:shd w:fill="16333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656"/>
            <w:shd w:fill="16333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DEF-2026-001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Seguridad &amp; API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Expiración de Token JWT y Redirección Insegura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C1432B"/>
                <w:sz w:val="16"/>
              </w:rPr>
              <w:t>Crítica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Cerrado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DEF-2026-002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Cierre Diario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Generación On-Demand y Persistencia de Acta PDF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854D0E"/>
                <w:sz w:val="16"/>
              </w:rPr>
              <w:t>Mayor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Cerrado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DEF-2026-003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Despachos &amp; Tickets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Sellos Criptográficos, QR y 3 Firmas en Ticket PDF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854D0E"/>
                <w:sz w:val="16"/>
              </w:rPr>
              <w:t>Mayor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Cerrado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DEF-2026-004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Validaciones &amp; Entradas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Validaciones Dominicanas (RNC, Cédula, Teléfonos 809)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C1432B"/>
                <w:sz w:val="16"/>
              </w:rPr>
              <w:t>Crítica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Cerrado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DEF-2026-005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UI/UX &amp; Ergonomía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Contraste StatusBadge y Botones Táctiles (38px)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Cerrado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DEF-2026-006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Recepciones Combustible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Verificación Espacio en Tanque y Comprobante Digital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854D0E"/>
                <w:sz w:val="16"/>
              </w:rPr>
              <w:t>Mayor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Cerrado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DEF-2026-007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Tanques Estacionarios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Asistente Nomenclatura y Regla Nivel Crítico Menor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Cerrado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DEF-2026-008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Reportes &amp; Notificaciones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Bloqueo Fechas Invertidas (Desde &gt; Hasta)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Cerrado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DEF-2026-009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Solicitudes Combustible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Cálculos Rápidos Aprobación y Cuota Autorizada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Cerrado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333A"/>
                <w:sz w:val="16"/>
              </w:rPr>
              <w:t>DEF-2026-010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Gestión de Tickets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Selector Prefijos Oficiales y Desacoplamiento Tabla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854D0E"/>
                <w:sz w:val="16"/>
              </w:rPr>
              <w:t>Mayor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E7D5B"/>
                <w:sz w:val="16"/>
              </w:rPr>
              <w:t>✅ Cerrado</w:t>
            </w:r>
          </w:p>
        </w:tc>
      </w:tr>
    </w:tbl>
    <w:p/>
    <w:p>
      <w:r>
        <w:rPr>
          <w:rFonts w:ascii="Arial" w:hAnsi="Arial"/>
          <w:b/>
          <w:color w:val="16333A"/>
          <w:sz w:val="22"/>
        </w:rPr>
        <w:t>3. DICTAMEN FINAL Y HOMOLOGACIÓN DE ASEGURAMIENTO DE CALIDAD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b/>
                <w:color w:val="16333A"/>
                <w:sz w:val="17"/>
              </w:rPr>
              <w:t>Rowlis Trinidad</w:t>
              <w:br/>
            </w:r>
            <w:r>
              <w:rPr>
                <w:color w:val="4A5A63"/>
                <w:sz w:val="16"/>
              </w:rPr>
              <w:t>Ingeniero Líder de QA</w:t>
              <w:br/>
            </w:r>
            <w:r>
              <w:rPr>
                <w:b/>
                <w:color w:val="2E7D5B"/>
                <w:sz w:val="15"/>
              </w:rPr>
              <w:t>Dictamen: Aprobado 100%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b/>
                <w:color w:val="16333A"/>
                <w:sz w:val="17"/>
              </w:rPr>
              <w:t>Comité Técnico</w:t>
              <w:br/>
            </w:r>
            <w:r>
              <w:rPr>
                <w:color w:val="4A5A63"/>
                <w:sz w:val="16"/>
              </w:rPr>
              <w:t>Arquitectura &amp; Backend</w:t>
              <w:br/>
            </w:r>
            <w:r>
              <w:rPr>
                <w:b/>
                <w:color w:val="2E7D5B"/>
                <w:sz w:val="15"/>
              </w:rPr>
              <w:t>Homologado en main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b/>
                <w:color w:val="16333A"/>
                <w:sz w:val="17"/>
              </w:rPr>
              <w:t>Dirección General</w:t>
              <w:br/>
            </w:r>
            <w:r>
              <w:rPr>
                <w:color w:val="4A5A63"/>
                <w:sz w:val="16"/>
              </w:rPr>
              <w:t>Operaciones FuelTrack</w:t>
              <w:br/>
            </w:r>
            <w:r>
              <w:rPr>
                <w:b/>
                <w:color w:val="2E7D5B"/>
                <w:sz w:val="15"/>
              </w:rPr>
              <w:t>Certificación Válida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A63"/>
        <w:sz w:val="16"/>
      </w:rPr>
      <w:t>DOCUMENTO TÉCNICO OFICIAL — CONSOLIDADO MAESTRO DE NO CONFORMIDADES  •  PÁGINA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A63"/>
        <w:sz w:val="16"/>
      </w:rPr>
      <w:t>SISTEMA FUELTRACK ERP  |  ÍNDICE MAESTRO DE CALIDAD  |  DOC-QA-00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