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6333A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INFORME TÉCNICO DE NO CONFORMIDAD Y RESOLUCIÓN</w:t>
              <w:br/>
            </w:r>
            <w:r>
              <w:rPr>
                <w:rFonts w:ascii="Arial" w:hAnsi="Arial"/>
                <w:b/>
                <w:color w:val="E29B2E"/>
                <w:sz w:val="22"/>
              </w:rPr>
              <w:t>DEF-2026-003 — Módulo: Despachos — Sellos Criptográficos, QR y Triple Firma en Tickets PDF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left w:val="none"/>
          <w:right w:val="none"/>
          <w:insideH w:val="single" w:sz="4" w:space="0" w:color="B0C4DE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8F6"/>
          </w:tcPr>
          <w:p>
            <w:r>
              <w:rPr>
                <w:rFonts w:ascii="Arial" w:hAnsi="Arial"/>
                <w:b/>
                <w:color w:val="16333A"/>
                <w:sz w:val="18"/>
              </w:rPr>
              <w:t>Código: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2181A"/>
                <w:sz w:val="18"/>
              </w:rPr>
              <w:t>DEF-2026-003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8F6"/>
          </w:tcPr>
          <w:p>
            <w:r>
              <w:rPr>
                <w:rFonts w:ascii="Arial" w:hAnsi="Arial"/>
                <w:b/>
                <w:color w:val="16333A"/>
                <w:sz w:val="18"/>
              </w:rPr>
              <w:t>Fecha de Cierre: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2181A"/>
                <w:sz w:val="18"/>
              </w:rPr>
              <w:t>18/09/2026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8F6"/>
          </w:tcPr>
          <w:p>
            <w:r>
              <w:rPr>
                <w:rFonts w:ascii="Arial" w:hAnsi="Arial"/>
                <w:b/>
                <w:color w:val="16333A"/>
                <w:sz w:val="18"/>
              </w:rPr>
              <w:t>Módulo Afectado: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2181A"/>
                <w:sz w:val="18"/>
              </w:rPr>
              <w:t>Despachos &amp; Tickets de Combustible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8F6"/>
          </w:tcPr>
          <w:p>
            <w:r>
              <w:rPr>
                <w:rFonts w:ascii="Arial" w:hAnsi="Arial"/>
                <w:b/>
                <w:color w:val="16333A"/>
                <w:sz w:val="18"/>
              </w:rPr>
              <w:t>Tipo Defecto: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2181A"/>
                <w:sz w:val="18"/>
              </w:rPr>
              <w:t>Seguridad Física / Integridad Operativa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8F6"/>
          </w:tcPr>
          <w:p>
            <w:r>
              <w:rPr>
                <w:rFonts w:ascii="Arial" w:hAnsi="Arial"/>
                <w:b/>
                <w:color w:val="16333A"/>
                <w:sz w:val="18"/>
              </w:rPr>
              <w:t>Severidad: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2181A"/>
                <w:sz w:val="18"/>
              </w:rPr>
              <w:t>Mayor (Riesgo de fraude físico y tickets no verificables en estación)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8F6"/>
          </w:tcPr>
          <w:p>
            <w:r>
              <w:rPr>
                <w:rFonts w:ascii="Arial" w:hAnsi="Arial"/>
                <w:b/>
                <w:color w:val="16333A"/>
                <w:sz w:val="18"/>
              </w:rPr>
              <w:t>Prioridad: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2181A"/>
                <w:sz w:val="18"/>
              </w:rPr>
              <w:t>P1 (Alta)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8F6"/>
          </w:tcPr>
          <w:p>
            <w:r>
              <w:rPr>
                <w:rFonts w:ascii="Arial" w:hAnsi="Arial"/>
                <w:b/>
                <w:color w:val="16333A"/>
                <w:sz w:val="18"/>
              </w:rPr>
              <w:t>Estado QA: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E7D5B"/>
                <w:sz w:val="18"/>
              </w:rPr>
              <w:t>✅ CERRADO / RESUELTO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8F6"/>
          </w:tcPr>
          <w:p>
            <w:r>
              <w:rPr>
                <w:rFonts w:ascii="Arial" w:hAnsi="Arial"/>
                <w:b/>
                <w:color w:val="16333A"/>
                <w:sz w:val="18"/>
              </w:rPr>
              <w:t>Auditor Líder: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2181A"/>
                <w:sz w:val="18"/>
              </w:rPr>
              <w:t>Rowlis Trinidad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color w:val="16333A"/>
          <w:sz w:val="22"/>
        </w:rPr>
        <w:t>1. DESCRIPCIÓN Y CONTEXTO DEL DEFECTO</w:t>
      </w:r>
    </w:p>
    <w:p>
      <w:pPr>
        <w:spacing w:line="276" w:lineRule="auto"/>
      </w:pPr>
      <w:r>
        <w:rPr>
          <w:rFonts w:ascii="Arial" w:hAnsi="Arial"/>
          <w:sz w:val="19"/>
        </w:rPr>
        <w:t>El formato PDF de los tickets de combustible emitidos carecía de código QR para lectura rápida en estación de servicio móvil, no incluía el sello criptográfico SHA-256 de integridad y no poseía las tres líneas reglamentarias de firma (Solicitante, Operador de Estación y Supervisor).</w:t>
      </w:r>
    </w:p>
    <w:p>
      <w:pPr>
        <w:spacing w:before="200" w:after="80"/>
      </w:pPr>
      <w:r>
        <w:rPr>
          <w:rFonts w:ascii="Arial" w:hAnsi="Arial"/>
          <w:b/>
          <w:color w:val="16333A"/>
          <w:sz w:val="22"/>
        </w:rPr>
        <w:t>2. PROCEDIMIENTO DE REPRODUCCIÓN (PASO A PASO)</w:t>
      </w:r>
    </w:p>
    <w:p>
      <w:pPr>
        <w:spacing w:after="40"/>
        <w:ind w:left="288"/>
      </w:pPr>
      <w:r>
        <w:rPr>
          <w:rFonts w:ascii="Arial" w:hAnsi="Arial"/>
          <w:sz w:val="18"/>
        </w:rPr>
        <w:t>1. Ir al módulo de Tickets y seleccionar Descargar PDF de un ticket autorizado.</w:t>
      </w:r>
    </w:p>
    <w:p>
      <w:pPr>
        <w:spacing w:after="40"/>
        <w:ind w:left="288"/>
      </w:pPr>
      <w:r>
        <w:rPr>
          <w:rFonts w:ascii="Arial" w:hAnsi="Arial"/>
          <w:sz w:val="18"/>
        </w:rPr>
        <w:t>2. Abrir el documento generado.</w:t>
      </w:r>
    </w:p>
    <w:p>
      <w:pPr>
        <w:spacing w:after="40"/>
        <w:ind w:left="288"/>
      </w:pPr>
      <w:r>
        <w:rPr>
          <w:rFonts w:ascii="Arial" w:hAnsi="Arial"/>
          <w:sz w:val="18"/>
        </w:rPr>
        <w:t>3. Observar la ausencia de QR de escaneo, hash de seguridad y líneas de responsabilidad.</w:t>
      </w:r>
    </w:p>
    <w:p>
      <w:pPr>
        <w:spacing w:before="200" w:after="80"/>
      </w:pPr>
      <w:r>
        <w:rPr>
          <w:rFonts w:ascii="Arial" w:hAnsi="Arial"/>
          <w:b/>
          <w:color w:val="16333A"/>
          <w:sz w:val="22"/>
        </w:rPr>
        <w:t>3. EVALUACIÓN DE COMPORTAMIENTOS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4968"/>
        <w:gridCol w:w="4968"/>
      </w:tblGrid>
      <w:tr>
        <w:tc>
          <w:tcPr>
            <w:tcW w:type="dxa" w:w="4968"/>
            <w:shd w:fill="F8D7D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721C24"/>
                <w:sz w:val="18"/>
              </w:rPr>
              <w:t>COMPORTAMIENTO ANTERIOR (ERRÓNEO)</w:t>
            </w:r>
          </w:p>
        </w:tc>
        <w:tc>
          <w:tcPr>
            <w:tcW w:type="dxa" w:w="4968"/>
            <w:shd w:fill="D4EDD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55724"/>
                <w:sz w:val="18"/>
              </w:rPr>
              <w:t>COMPORTAMIENTO ESPERADO (CORRECTO)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- Formato de ticket plano, sin garantías de no-repudio ni soporte para lectores de campo.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- Documento formal con código QR embebido, sello criptográfico HMAC-SHA256 y tres casillas de firmas reglamentarias.</w:t>
            </w:r>
          </w:p>
        </w:tc>
      </w:tr>
    </w:tbl>
    <w:p>
      <w:pPr>
        <w:spacing w:before="200" w:after="80"/>
      </w:pPr>
      <w:r>
        <w:rPr>
          <w:rFonts w:ascii="Arial" w:hAnsi="Arial"/>
          <w:b/>
          <w:color w:val="16333A"/>
          <w:sz w:val="22"/>
        </w:rPr>
        <w:t>4. ANÁLISIS DE CAUSA RAÍZ (RCA - ROOT CAUSE ANALYSIS)</w:t>
      </w:r>
    </w:p>
    <w:p>
      <w:pPr>
        <w:spacing w:line="276" w:lineRule="auto"/>
      </w:pPr>
      <w:r>
        <w:rPr>
          <w:rFonts w:ascii="Arial" w:hAnsi="Arial"/>
          <w:sz w:val="19"/>
        </w:rPr>
        <w:t>Plantilla inicial básica de QuestPDF que solo imprimía datos crudos de texto sin estructurar el documento conforme a los requisitos de control fiscal y seguridad de FuelTrack.</w:t>
      </w:r>
    </w:p>
    <w:p>
      <w:pPr>
        <w:spacing w:before="200" w:after="80"/>
      </w:pPr>
      <w:r>
        <w:rPr>
          <w:rFonts w:ascii="Arial" w:hAnsi="Arial"/>
          <w:b/>
          <w:color w:val="16333A"/>
          <w:sz w:val="22"/>
        </w:rPr>
        <w:t>5. RESOLUCIÓN TÉCNICA E IMPLEMENTACIÓN</w:t>
      </w:r>
    </w:p>
    <w:p>
      <w:pPr>
        <w:spacing w:after="60"/>
        <w:ind w:left="216"/>
      </w:pPr>
      <w:r>
        <w:rPr>
          <w:rFonts w:ascii="Arial" w:hAnsi="Arial"/>
          <w:b/>
          <w:color w:val="16333A"/>
          <w:sz w:val="18"/>
        </w:rPr>
        <w:t xml:space="preserve">Backend (TicketPdfService.cs): </w:t>
      </w:r>
      <w:r>
        <w:rPr>
          <w:rFonts w:ascii="Arial" w:hAnsi="Arial"/>
          <w:sz w:val="18"/>
        </w:rPr>
        <w:t>Reescritura completa con QuestPDF, generación dinámica de código QR con QRCoder, huella SHA-256 y bloque de firmas con tokens corporativos (#16333A, #4A5A63).</w:t>
      </w:r>
    </w:p>
    <w:p>
      <w:pPr>
        <w:spacing w:after="60"/>
        <w:ind w:left="216"/>
      </w:pPr>
      <w:r>
        <w:rPr>
          <w:rFonts w:ascii="Arial" w:hAnsi="Arial"/>
          <w:b/>
          <w:color w:val="16333A"/>
          <w:sz w:val="18"/>
        </w:rPr>
        <w:t xml:space="preserve">Frontend (TicketsPage.jsx): </w:t>
      </w:r>
      <w:r>
        <w:rPr>
          <w:rFonts w:ascii="Arial" w:hAnsi="Arial"/>
          <w:sz w:val="18"/>
        </w:rPr>
        <w:t>Descarga directa de PDF desde tabla y modal, con vista previa interactiva del código.</w:t>
      </w:r>
    </w:p>
    <w:p>
      <w:pPr>
        <w:spacing w:before="200" w:after="80"/>
      </w:pPr>
      <w:r>
        <w:rPr>
          <w:rFonts w:ascii="Arial" w:hAnsi="Arial"/>
          <w:b/>
          <w:color w:val="16333A"/>
          <w:sz w:val="22"/>
        </w:rPr>
        <w:t>6. MATRIZ DE PRUEBAS Y VALIDACIÓN AUTOMATIZADA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4A5A6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Tipo de Prueba</w:t>
            </w:r>
          </w:p>
        </w:tc>
        <w:tc>
          <w:tcPr>
            <w:tcW w:type="dxa" w:w="3312"/>
            <w:shd w:fill="4A5A6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Comando / Suite Ejecutada</w:t>
            </w:r>
          </w:p>
        </w:tc>
        <w:tc>
          <w:tcPr>
            <w:tcW w:type="dxa" w:w="3312"/>
            <w:shd w:fill="4A5A6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Resultado Oficial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Pruebas Unitarias de Tickets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dotnet test backend/FuelTrack.slnx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2E7D5B"/>
                <w:sz w:val="17"/>
              </w:rPr>
              <w:t>Aprobado (284/284)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Compilación Frontend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npm.cmd run build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2E7D5B"/>
                <w:sz w:val="17"/>
              </w:rPr>
              <w:t>Aprobado</w:t>
            </w:r>
          </w:p>
        </w:tc>
      </w:tr>
    </w:tbl>
    <w:p>
      <w:pPr>
        <w:spacing w:before="200" w:after="80"/>
      </w:pPr>
      <w:r>
        <w:rPr>
          <w:rFonts w:ascii="Arial" w:hAnsi="Arial"/>
          <w:b/>
          <w:color w:val="16333A"/>
          <w:sz w:val="22"/>
        </w:rPr>
        <w:t>7. CERTIFICACIÓN DE CALIDAD Y APROBACIÓN INSTITUCIONAL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FFFFFF"/>
          <w:bottom w:val="single" w:sz="4" w:space="0" w:color="FFFFFF"/>
          <w:left w:val="none"/>
          <w:right w:val="none"/>
          <w:insideH w:val="single" w:sz="4" w:space="0" w:color="FFFFFF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14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4A5A63"/>
              </w:rPr>
              <w:t>_______________________________</w:t>
              <w:br/>
            </w:r>
            <w:r>
              <w:rPr>
                <w:rFonts w:ascii="Arial" w:hAnsi="Arial"/>
                <w:b/>
                <w:color w:val="16333A"/>
                <w:sz w:val="17"/>
              </w:rPr>
              <w:t>Rowlis Trinidad</w:t>
              <w:br/>
            </w:r>
            <w:r>
              <w:rPr>
                <w:rFonts w:ascii="Arial" w:hAnsi="Arial"/>
                <w:color w:val="4A5A63"/>
                <w:sz w:val="16"/>
              </w:rPr>
              <w:t>Ingeniero Líder de QA</w:t>
              <w:br/>
            </w:r>
            <w:r>
              <w:rPr>
                <w:rFonts w:ascii="Arial" w:hAnsi="Arial"/>
                <w:color w:val="2E7D5B"/>
                <w:sz w:val="15"/>
              </w:rPr>
              <w:t>Aprobado &amp; Certificado</w:t>
            </w:r>
          </w:p>
        </w:tc>
        <w:tc>
          <w:tcPr>
            <w:tcW w:type="dxa" w:w="3312"/>
            <w:tcMar>
              <w:top w:w="14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4A5A63"/>
              </w:rPr>
              <w:t>_______________________________</w:t>
              <w:br/>
            </w:r>
            <w:r>
              <w:rPr>
                <w:rFonts w:ascii="Arial" w:hAnsi="Arial"/>
                <w:b/>
                <w:color w:val="16333A"/>
                <w:sz w:val="17"/>
              </w:rPr>
              <w:t>Equipo de Desarrollo</w:t>
              <w:br/>
            </w:r>
            <w:r>
              <w:rPr>
                <w:rFonts w:ascii="Arial" w:hAnsi="Arial"/>
                <w:color w:val="4A5A63"/>
                <w:sz w:val="16"/>
              </w:rPr>
              <w:t>Arquitectura de Software</w:t>
              <w:br/>
            </w:r>
            <w:r>
              <w:rPr>
                <w:rFonts w:ascii="Arial" w:hAnsi="Arial"/>
                <w:color w:val="2E7D5B"/>
                <w:sz w:val="15"/>
              </w:rPr>
              <w:t>Implementación Completa</w:t>
            </w:r>
          </w:p>
        </w:tc>
        <w:tc>
          <w:tcPr>
            <w:tcW w:type="dxa" w:w="3312"/>
            <w:tcMar>
              <w:top w:w="14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4A5A63"/>
              </w:rPr>
              <w:t>_______________________________</w:t>
              <w:br/>
            </w:r>
            <w:r>
              <w:rPr>
                <w:rFonts w:ascii="Arial" w:hAnsi="Arial"/>
                <w:b/>
                <w:color w:val="16333A"/>
                <w:sz w:val="17"/>
              </w:rPr>
              <w:t>Dirección de Operaciones</w:t>
              <w:br/>
            </w:r>
            <w:r>
              <w:rPr>
                <w:rFonts w:ascii="Arial" w:hAnsi="Arial"/>
                <w:color w:val="4A5A63"/>
                <w:sz w:val="16"/>
              </w:rPr>
              <w:t>Revisión y Conformidad</w:t>
              <w:br/>
            </w:r>
            <w:r>
              <w:rPr>
                <w:rFonts w:ascii="Arial" w:hAnsi="Arial"/>
                <w:color w:val="2E7D5B"/>
                <w:sz w:val="15"/>
              </w:rPr>
              <w:t>Visto Bueno Producción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A5A63"/>
        <w:sz w:val="16"/>
      </w:rPr>
      <w:t>INFORME TÉCNICO OFICIAL DE DEFECTO Y RESOLUCIÓN  •  CONFIDENCIAL INSTITUCIONAL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4A5A63"/>
        <w:sz w:val="16"/>
      </w:rPr>
      <w:t>SISTEMA FUELTRACK ERP  |  ASEGURAMIENTO DE CALIDAD (QA)  |  DEF-2026-003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