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6333A"/>
            <w:tcMar>
              <w:top w:w="160" w:type="dxa"/>
              <w:bottom w:w="160" w:type="dxa"/>
              <w:left w:w="200" w:type="dxa"/>
              <w:right w:w="200" w:type="dxa"/>
            </w:tcMar>
          </w:tcPr>
          <w:p>
            <w:pPr>
              <w:jc w:val="center"/>
            </w:pPr>
            <w:r>
              <w:rPr>
                <w:rFonts w:ascii="Arial" w:hAnsi="Arial"/>
                <w:b/>
                <w:color w:val="FFFFFF"/>
                <w:sz w:val="28"/>
              </w:rPr>
              <w:t>INFORME TÉCNICO DE NO CONFORMIDAD Y RESOLUCIÓN</w:t>
              <w:br/>
            </w:r>
            <w:r>
              <w:rPr>
                <w:rFonts w:ascii="Arial" w:hAnsi="Arial"/>
                <w:b/>
                <w:color w:val="E29B2E"/>
                <w:sz w:val="22"/>
              </w:rPr>
              <w:t>DEF-2026-004 — Módulo: Formularios — Validaciones Específicas Dominicanas (RNC, Cédula, Teléfono)</w:t>
            </w:r>
          </w:p>
        </w:tc>
      </w:tr>
    </w:tbl>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84"/>
        <w:gridCol w:w="2484"/>
        <w:gridCol w:w="2484"/>
        <w:gridCol w:w="2484"/>
      </w:tblGrid>
      <w:tr>
        <w:tc>
          <w:tcPr>
            <w:tcW w:type="dxa" w:w="2484"/>
            <w:tcMar>
              <w:top w:w="80" w:type="dxa"/>
              <w:bottom w:w="80" w:type="dxa"/>
              <w:left w:w="120" w:type="dxa"/>
              <w:right w:w="120" w:type="dxa"/>
            </w:tcMar>
            <w:shd w:fill="F7F8F6"/>
          </w:tcPr>
          <w:p>
            <w:r>
              <w:rPr>
                <w:rFonts w:ascii="Arial" w:hAnsi="Arial"/>
                <w:b/>
                <w:color w:val="16333A"/>
                <w:sz w:val="18"/>
              </w:rPr>
              <w:t>Código:</w:t>
            </w:r>
          </w:p>
        </w:tc>
        <w:tc>
          <w:tcPr>
            <w:tcW w:type="dxa" w:w="2484"/>
            <w:tcMar>
              <w:top w:w="80" w:type="dxa"/>
              <w:bottom w:w="80" w:type="dxa"/>
              <w:left w:w="120" w:type="dxa"/>
              <w:right w:w="120" w:type="dxa"/>
            </w:tcMar>
          </w:tcPr>
          <w:p>
            <w:r>
              <w:rPr>
                <w:rFonts w:ascii="Arial" w:hAnsi="Arial"/>
                <w:b w:val="0"/>
                <w:color w:val="12181A"/>
                <w:sz w:val="18"/>
              </w:rPr>
              <w:t>DEF-2026-004</w:t>
            </w:r>
          </w:p>
        </w:tc>
        <w:tc>
          <w:tcPr>
            <w:tcW w:type="dxa" w:w="2484"/>
            <w:tcMar>
              <w:top w:w="80" w:type="dxa"/>
              <w:bottom w:w="80" w:type="dxa"/>
              <w:left w:w="120" w:type="dxa"/>
              <w:right w:w="120" w:type="dxa"/>
            </w:tcMar>
            <w:shd w:fill="F7F8F6"/>
          </w:tcPr>
          <w:p>
            <w:r>
              <w:rPr>
                <w:rFonts w:ascii="Arial" w:hAnsi="Arial"/>
                <w:b/>
                <w:color w:val="16333A"/>
                <w:sz w:val="18"/>
              </w:rPr>
              <w:t>Fecha de Cierre:</w:t>
            </w:r>
          </w:p>
        </w:tc>
        <w:tc>
          <w:tcPr>
            <w:tcW w:type="dxa" w:w="2484"/>
            <w:tcMar>
              <w:top w:w="80" w:type="dxa"/>
              <w:bottom w:w="80" w:type="dxa"/>
              <w:left w:w="120" w:type="dxa"/>
              <w:right w:w="120" w:type="dxa"/>
            </w:tcMar>
          </w:tcPr>
          <w:p>
            <w:r>
              <w:rPr>
                <w:rFonts w:ascii="Arial" w:hAnsi="Arial"/>
                <w:b w:val="0"/>
                <w:color w:val="12181A"/>
                <w:sz w:val="18"/>
              </w:rPr>
              <w:t>18/09/2026</w:t>
            </w:r>
          </w:p>
        </w:tc>
      </w:tr>
      <w:tr>
        <w:tc>
          <w:tcPr>
            <w:tcW w:type="dxa" w:w="2484"/>
            <w:tcMar>
              <w:top w:w="80" w:type="dxa"/>
              <w:bottom w:w="80" w:type="dxa"/>
              <w:left w:w="120" w:type="dxa"/>
              <w:right w:w="120" w:type="dxa"/>
            </w:tcMar>
            <w:shd w:fill="F7F8F6"/>
          </w:tcPr>
          <w:p>
            <w:r>
              <w:rPr>
                <w:rFonts w:ascii="Arial" w:hAnsi="Arial"/>
                <w:b/>
                <w:color w:val="16333A"/>
                <w:sz w:val="18"/>
              </w:rPr>
              <w:t>Módulo Afectado:</w:t>
            </w:r>
          </w:p>
        </w:tc>
        <w:tc>
          <w:tcPr>
            <w:tcW w:type="dxa" w:w="2484"/>
            <w:tcMar>
              <w:top w:w="80" w:type="dxa"/>
              <w:bottom w:w="80" w:type="dxa"/>
              <w:left w:w="120" w:type="dxa"/>
              <w:right w:w="120" w:type="dxa"/>
            </w:tcMar>
          </w:tcPr>
          <w:p>
            <w:r>
              <w:rPr>
                <w:rFonts w:ascii="Arial" w:hAnsi="Arial"/>
                <w:b w:val="0"/>
                <w:color w:val="12181A"/>
                <w:sz w:val="18"/>
              </w:rPr>
              <w:t>Validación de Entradas &amp; Catálogos</w:t>
            </w:r>
          </w:p>
        </w:tc>
        <w:tc>
          <w:tcPr>
            <w:tcW w:type="dxa" w:w="2484"/>
            <w:tcMar>
              <w:top w:w="80" w:type="dxa"/>
              <w:bottom w:w="80" w:type="dxa"/>
              <w:left w:w="120" w:type="dxa"/>
              <w:right w:w="120" w:type="dxa"/>
            </w:tcMar>
            <w:shd w:fill="F7F8F6"/>
          </w:tcPr>
          <w:p>
            <w:r>
              <w:rPr>
                <w:rFonts w:ascii="Arial" w:hAnsi="Arial"/>
                <w:b/>
                <w:color w:val="16333A"/>
                <w:sz w:val="18"/>
              </w:rPr>
              <w:t>Tipo Defecto:</w:t>
            </w:r>
          </w:p>
        </w:tc>
        <w:tc>
          <w:tcPr>
            <w:tcW w:type="dxa" w:w="2484"/>
            <w:tcMar>
              <w:top w:w="80" w:type="dxa"/>
              <w:bottom w:w="80" w:type="dxa"/>
              <w:left w:w="120" w:type="dxa"/>
              <w:right w:w="120" w:type="dxa"/>
            </w:tcMar>
          </w:tcPr>
          <w:p>
            <w:r>
              <w:rPr>
                <w:rFonts w:ascii="Arial" w:hAnsi="Arial"/>
                <w:b w:val="0"/>
                <w:color w:val="12181A"/>
                <w:sz w:val="18"/>
              </w:rPr>
              <w:t>Integridad de Datos / Reglas de Negocio</w:t>
            </w:r>
          </w:p>
        </w:tc>
      </w:tr>
      <w:tr>
        <w:tc>
          <w:tcPr>
            <w:tcW w:type="dxa" w:w="2484"/>
            <w:tcMar>
              <w:top w:w="80" w:type="dxa"/>
              <w:bottom w:w="80" w:type="dxa"/>
              <w:left w:w="120" w:type="dxa"/>
              <w:right w:w="120" w:type="dxa"/>
            </w:tcMar>
            <w:shd w:fill="F7F8F6"/>
          </w:tcPr>
          <w:p>
            <w:r>
              <w:rPr>
                <w:rFonts w:ascii="Arial" w:hAnsi="Arial"/>
                <w:b/>
                <w:color w:val="16333A"/>
                <w:sz w:val="18"/>
              </w:rPr>
              <w:t>Severidad:</w:t>
            </w:r>
          </w:p>
        </w:tc>
        <w:tc>
          <w:tcPr>
            <w:tcW w:type="dxa" w:w="2484"/>
            <w:tcMar>
              <w:top w:w="80" w:type="dxa"/>
              <w:bottom w:w="80" w:type="dxa"/>
              <w:left w:w="120" w:type="dxa"/>
              <w:right w:w="120" w:type="dxa"/>
            </w:tcMar>
          </w:tcPr>
          <w:p>
            <w:r>
              <w:rPr>
                <w:rFonts w:ascii="Arial" w:hAnsi="Arial"/>
                <w:b w:val="0"/>
                <w:color w:val="12181A"/>
                <w:sz w:val="18"/>
              </w:rPr>
              <w:t>Crítica (Contaminación de base de datos con registros fiscales y personas erróneas)</w:t>
            </w:r>
          </w:p>
        </w:tc>
        <w:tc>
          <w:tcPr>
            <w:tcW w:type="dxa" w:w="2484"/>
            <w:tcMar>
              <w:top w:w="80" w:type="dxa"/>
              <w:bottom w:w="80" w:type="dxa"/>
              <w:left w:w="120" w:type="dxa"/>
              <w:right w:w="120" w:type="dxa"/>
            </w:tcMar>
            <w:shd w:fill="F7F8F6"/>
          </w:tcPr>
          <w:p>
            <w:r>
              <w:rPr>
                <w:rFonts w:ascii="Arial" w:hAnsi="Arial"/>
                <w:b/>
                <w:color w:val="16333A"/>
                <w:sz w:val="18"/>
              </w:rPr>
              <w:t>Prioridad:</w:t>
            </w:r>
          </w:p>
        </w:tc>
        <w:tc>
          <w:tcPr>
            <w:tcW w:type="dxa" w:w="2484"/>
            <w:tcMar>
              <w:top w:w="80" w:type="dxa"/>
              <w:bottom w:w="80" w:type="dxa"/>
              <w:left w:w="120" w:type="dxa"/>
              <w:right w:w="120" w:type="dxa"/>
            </w:tcMar>
          </w:tcPr>
          <w:p>
            <w:r>
              <w:rPr>
                <w:rFonts w:ascii="Arial" w:hAnsi="Arial"/>
                <w:b w:val="0"/>
                <w:color w:val="12181A"/>
                <w:sz w:val="18"/>
              </w:rPr>
              <w:t>P1 (Alta)</w:t>
            </w:r>
          </w:p>
        </w:tc>
      </w:tr>
      <w:tr>
        <w:tc>
          <w:tcPr>
            <w:tcW w:type="dxa" w:w="2484"/>
            <w:tcMar>
              <w:top w:w="80" w:type="dxa"/>
              <w:bottom w:w="80" w:type="dxa"/>
              <w:left w:w="120" w:type="dxa"/>
              <w:right w:w="120" w:type="dxa"/>
            </w:tcMar>
            <w:shd w:fill="F7F8F6"/>
          </w:tcPr>
          <w:p>
            <w:r>
              <w:rPr>
                <w:rFonts w:ascii="Arial" w:hAnsi="Arial"/>
                <w:b/>
                <w:color w:val="16333A"/>
                <w:sz w:val="18"/>
              </w:rPr>
              <w:t>Estado QA:</w:t>
            </w:r>
          </w:p>
        </w:tc>
        <w:tc>
          <w:tcPr>
            <w:tcW w:type="dxa" w:w="2484"/>
            <w:tcMar>
              <w:top w:w="80" w:type="dxa"/>
              <w:bottom w:w="80" w:type="dxa"/>
              <w:left w:w="120" w:type="dxa"/>
              <w:right w:w="120" w:type="dxa"/>
            </w:tcMar>
          </w:tcPr>
          <w:p>
            <w:r>
              <w:rPr>
                <w:rFonts w:ascii="Arial" w:hAnsi="Arial"/>
                <w:b/>
                <w:color w:val="2E7D5B"/>
                <w:sz w:val="18"/>
              </w:rPr>
              <w:t>✅ CERRADO / RESUELTO</w:t>
            </w:r>
          </w:p>
        </w:tc>
        <w:tc>
          <w:tcPr>
            <w:tcW w:type="dxa" w:w="2484"/>
            <w:tcMar>
              <w:top w:w="80" w:type="dxa"/>
              <w:bottom w:w="80" w:type="dxa"/>
              <w:left w:w="120" w:type="dxa"/>
              <w:right w:w="120" w:type="dxa"/>
            </w:tcMar>
            <w:shd w:fill="F7F8F6"/>
          </w:tcPr>
          <w:p>
            <w:r>
              <w:rPr>
                <w:rFonts w:ascii="Arial" w:hAnsi="Arial"/>
                <w:b/>
                <w:color w:val="16333A"/>
                <w:sz w:val="18"/>
              </w:rPr>
              <w:t>Auditor Líder:</w:t>
            </w:r>
          </w:p>
        </w:tc>
        <w:tc>
          <w:tcPr>
            <w:tcW w:type="dxa" w:w="2484"/>
            <w:tcMar>
              <w:top w:w="80" w:type="dxa"/>
              <w:bottom w:w="80" w:type="dxa"/>
              <w:left w:w="120" w:type="dxa"/>
              <w:right w:w="120" w:type="dxa"/>
            </w:tcMar>
          </w:tcPr>
          <w:p>
            <w:r>
              <w:rPr>
                <w:rFonts w:ascii="Arial" w:hAnsi="Arial"/>
                <w:b w:val="0"/>
                <w:color w:val="12181A"/>
                <w:sz w:val="18"/>
              </w:rPr>
              <w:t>Rowlis Trinidad</w:t>
            </w:r>
          </w:p>
        </w:tc>
      </w:tr>
    </w:tbl>
    <w:p/>
    <w:p>
      <w:pPr>
        <w:spacing w:before="200" w:after="80"/>
      </w:pPr>
      <w:r>
        <w:rPr>
          <w:rFonts w:ascii="Arial" w:hAnsi="Arial"/>
          <w:b/>
          <w:color w:val="16333A"/>
          <w:sz w:val="22"/>
        </w:rPr>
        <w:t>1. DESCRIPCIÓN Y CONTEXTO DEL DEFECTO</w:t>
      </w:r>
    </w:p>
    <w:p>
      <w:pPr>
        <w:spacing w:line="276" w:lineRule="auto"/>
      </w:pPr>
      <w:r>
        <w:rPr>
          <w:rFonts w:ascii="Arial" w:hAnsi="Arial"/>
          <w:sz w:val="19"/>
        </w:rPr>
        <w:t>Los formularios del sistema permitían guardar RNCs con cualquier número de caracteres, cédulas inválidas sin los 11 dígitos requeridos en República Dominicana, números de teléfono con prefijos no correspondientes al país (solo se permiten 809, 829 y 849) y placas vehiculares con formatos alfanuméricos incorrectos.</w:t>
      </w:r>
    </w:p>
    <w:p>
      <w:pPr>
        <w:spacing w:before="200" w:after="80"/>
      </w:pPr>
      <w:r>
        <w:rPr>
          <w:rFonts w:ascii="Arial" w:hAnsi="Arial"/>
          <w:b/>
          <w:color w:val="16333A"/>
          <w:sz w:val="22"/>
        </w:rPr>
        <w:t>2. PROCEDIMIENTO DE REPRODUCCIÓN (PASO A PASO)</w:t>
      </w:r>
    </w:p>
    <w:p>
      <w:pPr>
        <w:spacing w:after="40"/>
        <w:ind w:left="288"/>
      </w:pPr>
      <w:r>
        <w:rPr>
          <w:rFonts w:ascii="Arial" w:hAnsi="Arial"/>
          <w:sz w:val="18"/>
        </w:rPr>
        <w:t>1. Abrir modal de Nuevo Proveedor e ingresar un RNC con 4 caracteres numéricos.</w:t>
      </w:r>
    </w:p>
    <w:p>
      <w:pPr>
        <w:spacing w:after="40"/>
        <w:ind w:left="288"/>
      </w:pPr>
      <w:r>
        <w:rPr>
          <w:rFonts w:ascii="Arial" w:hAnsi="Arial"/>
          <w:sz w:val="18"/>
        </w:rPr>
        <w:t>2. Abrir modal de Nuevo Empleado e ingresar un teléfono con código de área 555.</w:t>
      </w:r>
    </w:p>
    <w:p>
      <w:pPr>
        <w:spacing w:after="40"/>
        <w:ind w:left="288"/>
      </w:pPr>
      <w:r>
        <w:rPr>
          <w:rFonts w:ascii="Arial" w:hAnsi="Arial"/>
          <w:sz w:val="18"/>
        </w:rPr>
        <w:t>3. Observar que el formulario permitía el envío sin validar el estándar nacional de RD.</w:t>
      </w:r>
    </w:p>
    <w:p>
      <w:pPr>
        <w:spacing w:before="200" w:after="80"/>
      </w:pPr>
      <w:r>
        <w:rPr>
          <w:rFonts w:ascii="Arial" w:hAnsi="Arial"/>
          <w:b/>
          <w:color w:val="16333A"/>
          <w:sz w:val="22"/>
        </w:rPr>
        <w:t>3. EVALUACIÓN DE COMPORTAMIENTOS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4968"/>
            <w:shd w:fill="F8D7DA"/>
            <w:tcMar>
              <w:top w:w="100" w:type="dxa"/>
              <w:bottom w:w="100" w:type="dxa"/>
              <w:left w:w="120" w:type="dxa"/>
              <w:right w:w="120" w:type="dxa"/>
            </w:tcMar>
          </w:tcPr>
          <w:p>
            <w:r>
              <w:rPr>
                <w:rFonts w:ascii="Arial" w:hAnsi="Arial"/>
                <w:b/>
                <w:color w:val="721C24"/>
                <w:sz w:val="18"/>
              </w:rPr>
              <w:t>COMPORTAMIENTO ANTERIOR (ERRÓNEO)</w:t>
            </w:r>
          </w:p>
        </w:tc>
        <w:tc>
          <w:tcPr>
            <w:tcW w:type="dxa" w:w="4968"/>
            <w:shd w:fill="D4EDDA"/>
            <w:tcMar>
              <w:top w:w="100" w:type="dxa"/>
              <w:bottom w:w="100" w:type="dxa"/>
              <w:left w:w="120" w:type="dxa"/>
              <w:right w:w="120" w:type="dxa"/>
            </w:tcMar>
          </w:tcPr>
          <w:p>
            <w:r>
              <w:rPr>
                <w:rFonts w:ascii="Arial" w:hAnsi="Arial"/>
                <w:b/>
                <w:color w:val="155724"/>
                <w:sz w:val="18"/>
              </w:rPr>
              <w:t>COMPORTAMIENTO ESPERADO (CORRECTO)</w:t>
            </w:r>
          </w:p>
        </w:tc>
      </w:tr>
      <w:tr>
        <w:tc>
          <w:tcPr>
            <w:tcW w:type="dxa" w:w="4968"/>
            <w:tcMar>
              <w:top w:w="100" w:type="dxa"/>
              <w:bottom w:w="100" w:type="dxa"/>
              <w:left w:w="120" w:type="dxa"/>
              <w:right w:w="120" w:type="dxa"/>
            </w:tcMar>
          </w:tcPr>
          <w:p>
            <w:r>
              <w:rPr>
                <w:rFonts w:ascii="Arial" w:hAnsi="Arial"/>
                <w:sz w:val="18"/>
              </w:rPr>
              <w:t>- Envío permitido de identificadores inválidos que generaban fallos posteriores o ensuciaban el catálogo.</w:t>
            </w:r>
          </w:p>
        </w:tc>
        <w:tc>
          <w:tcPr>
            <w:tcW w:type="dxa" w:w="4968"/>
            <w:tcMar>
              <w:top w:w="100" w:type="dxa"/>
              <w:bottom w:w="100" w:type="dxa"/>
              <w:left w:w="120" w:type="dxa"/>
              <w:right w:w="120" w:type="dxa"/>
            </w:tcMar>
          </w:tcPr>
          <w:p>
            <w:r>
              <w:rPr>
                <w:rFonts w:ascii="Arial" w:hAnsi="Arial"/>
                <w:sz w:val="18"/>
              </w:rPr>
              <w:t>- Validación estricta en tiempo real con mensajes explicativos y formateo visual conforme al marco regulatorio dominicano.</w:t>
            </w:r>
          </w:p>
        </w:tc>
      </w:tr>
    </w:tbl>
    <w:p>
      <w:pPr>
        <w:spacing w:before="200" w:after="80"/>
      </w:pPr>
      <w:r>
        <w:rPr>
          <w:rFonts w:ascii="Arial" w:hAnsi="Arial"/>
          <w:b/>
          <w:color w:val="16333A"/>
          <w:sz w:val="22"/>
        </w:rPr>
        <w:t>4. ANÁLISIS DE CAUSA RAÍZ (RCA - ROOT CAUSE ANALYSIS)</w:t>
      </w:r>
    </w:p>
    <w:p>
      <w:pPr>
        <w:spacing w:line="276" w:lineRule="auto"/>
      </w:pPr>
      <w:r>
        <w:rPr>
          <w:rFonts w:ascii="Arial" w:hAnsi="Arial"/>
          <w:sz w:val="19"/>
        </w:rPr>
        <w:t>Inexistencia de un módulo centralizado de validación con las reglas de negocio de República Dominicana y dependencia de inputs HTML estándar sin validadores asociados.</w:t>
      </w:r>
    </w:p>
    <w:p>
      <w:pPr>
        <w:spacing w:before="200" w:after="80"/>
      </w:pPr>
      <w:r>
        <w:rPr>
          <w:rFonts w:ascii="Arial" w:hAnsi="Arial"/>
          <w:b/>
          <w:color w:val="16333A"/>
          <w:sz w:val="22"/>
        </w:rPr>
        <w:t>5. RESOLUCIÓN TÉCNICA E IMPLEMENTACIÓN</w:t>
      </w:r>
    </w:p>
    <w:p>
      <w:pPr>
        <w:spacing w:after="60"/>
        <w:ind w:left="216"/>
      </w:pPr>
      <w:r>
        <w:rPr>
          <w:rFonts w:ascii="Arial" w:hAnsi="Arial"/>
          <w:b/>
          <w:color w:val="16333A"/>
          <w:sz w:val="18"/>
        </w:rPr>
        <w:t xml:space="preserve">Frontend (src/utils/validators.js): </w:t>
      </w:r>
      <w:r>
        <w:rPr>
          <w:rFonts w:ascii="Arial" w:hAnsi="Arial"/>
          <w:sz w:val="18"/>
        </w:rPr>
        <w:t>Creación de funciones validateRnc, validateCedula, validateTelefonoRD (809/829/849), validatePlacaVehiculo, validateAnioVehiculo y formatters asociados.</w:t>
      </w:r>
    </w:p>
    <w:p>
      <w:pPr>
        <w:spacing w:after="60"/>
        <w:ind w:left="216"/>
      </w:pPr>
      <w:r>
        <w:rPr>
          <w:rFonts w:ascii="Arial" w:hAnsi="Arial"/>
          <w:b/>
          <w:color w:val="16333A"/>
          <w:sz w:val="18"/>
        </w:rPr>
        <w:t xml:space="preserve">Frontend (Field.jsx &amp; Páginas): </w:t>
      </w:r>
      <w:r>
        <w:rPr>
          <w:rFonts w:ascii="Arial" w:hAnsi="Arial"/>
          <w:sz w:val="18"/>
        </w:rPr>
        <w:t>Conexión de errores en tiempo real y componentes visuales en Proveedores, Empleados y Vehículos.</w:t>
      </w:r>
    </w:p>
    <w:p>
      <w:pPr>
        <w:spacing w:before="200" w:after="80"/>
      </w:pPr>
      <w:r>
        <w:rPr>
          <w:rFonts w:ascii="Arial" w:hAnsi="Arial"/>
          <w:b/>
          <w:color w:val="16333A"/>
          <w:sz w:val="22"/>
        </w:rPr>
        <w:t>6. MATRIZ DE PRUEBAS Y VALIDACIÓN AUTOMATIZADA</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312"/>
        <w:gridCol w:w="3312"/>
        <w:gridCol w:w="3312"/>
      </w:tblGrid>
      <w:tr>
        <w:tc>
          <w:tcPr>
            <w:tcW w:type="dxa" w:w="3312"/>
            <w:shd w:fill="4A5A63"/>
            <w:tcMar>
              <w:top w:w="80" w:type="dxa"/>
              <w:bottom w:w="80" w:type="dxa"/>
              <w:left w:w="100" w:type="dxa"/>
              <w:right w:w="100" w:type="dxa"/>
            </w:tcMar>
          </w:tcPr>
          <w:p>
            <w:r>
              <w:rPr>
                <w:rFonts w:ascii="Arial" w:hAnsi="Arial"/>
                <w:b/>
                <w:color w:val="FFFFFF"/>
                <w:sz w:val="17"/>
              </w:rPr>
              <w:t>Tipo de Prueba</w:t>
            </w:r>
          </w:p>
        </w:tc>
        <w:tc>
          <w:tcPr>
            <w:tcW w:type="dxa" w:w="3312"/>
            <w:shd w:fill="4A5A63"/>
            <w:tcMar>
              <w:top w:w="80" w:type="dxa"/>
              <w:bottom w:w="80" w:type="dxa"/>
              <w:left w:w="100" w:type="dxa"/>
              <w:right w:w="100" w:type="dxa"/>
            </w:tcMar>
          </w:tcPr>
          <w:p>
            <w:r>
              <w:rPr>
                <w:rFonts w:ascii="Arial" w:hAnsi="Arial"/>
                <w:b/>
                <w:color w:val="FFFFFF"/>
                <w:sz w:val="17"/>
              </w:rPr>
              <w:t>Comando / Suite Ejecutada</w:t>
            </w:r>
          </w:p>
        </w:tc>
        <w:tc>
          <w:tcPr>
            <w:tcW w:type="dxa" w:w="3312"/>
            <w:shd w:fill="4A5A63"/>
            <w:tcMar>
              <w:top w:w="80" w:type="dxa"/>
              <w:bottom w:w="80" w:type="dxa"/>
              <w:left w:w="100" w:type="dxa"/>
              <w:right w:w="100" w:type="dxa"/>
            </w:tcMar>
          </w:tcPr>
          <w:p>
            <w:r>
              <w:rPr>
                <w:rFonts w:ascii="Arial" w:hAnsi="Arial"/>
                <w:b/>
                <w:color w:val="FFFFFF"/>
                <w:sz w:val="17"/>
              </w:rPr>
              <w:t>Resultado Oficial</w:t>
            </w:r>
          </w:p>
        </w:tc>
      </w:tr>
      <w:tr>
        <w:tc>
          <w:tcPr>
            <w:tcW w:type="dxa" w:w="3312"/>
            <w:tcMar>
              <w:top w:w="60" w:type="dxa"/>
              <w:bottom w:w="60" w:type="dxa"/>
              <w:left w:w="100" w:type="dxa"/>
              <w:right w:w="100" w:type="dxa"/>
            </w:tcMar>
          </w:tcPr>
          <w:p>
            <w:r>
              <w:rPr>
                <w:sz w:val="17"/>
              </w:rPr>
              <w:t>Linter Frontend</w:t>
            </w:r>
          </w:p>
        </w:tc>
        <w:tc>
          <w:tcPr>
            <w:tcW w:type="dxa" w:w="3312"/>
            <w:tcMar>
              <w:top w:w="60" w:type="dxa"/>
              <w:bottom w:w="60" w:type="dxa"/>
              <w:left w:w="100" w:type="dxa"/>
              <w:right w:w="100" w:type="dxa"/>
            </w:tcMar>
          </w:tcPr>
          <w:p>
            <w:r>
              <w:rPr>
                <w:sz w:val="17"/>
              </w:rPr>
              <w:t>npm.cmd run lint</w:t>
            </w:r>
          </w:p>
        </w:tc>
        <w:tc>
          <w:tcPr>
            <w:tcW w:type="dxa" w:w="3312"/>
            <w:tcMar>
              <w:top w:w="60" w:type="dxa"/>
              <w:bottom w:w="60" w:type="dxa"/>
              <w:left w:w="100" w:type="dxa"/>
              <w:right w:w="100" w:type="dxa"/>
            </w:tcMar>
          </w:tcPr>
          <w:p>
            <w:r>
              <w:rPr>
                <w:b/>
                <w:color w:val="2E7D5B"/>
                <w:sz w:val="17"/>
              </w:rPr>
              <w:t>Aprobado (0 errores)</w:t>
            </w:r>
          </w:p>
        </w:tc>
      </w:tr>
      <w:tr>
        <w:tc>
          <w:tcPr>
            <w:tcW w:type="dxa" w:w="3312"/>
            <w:tcMar>
              <w:top w:w="60" w:type="dxa"/>
              <w:bottom w:w="60" w:type="dxa"/>
              <w:left w:w="100" w:type="dxa"/>
              <w:right w:w="100" w:type="dxa"/>
            </w:tcMar>
          </w:tcPr>
          <w:p>
            <w:r>
              <w:rPr>
                <w:sz w:val="17"/>
              </w:rPr>
              <w:t>Compilación de Producción</w:t>
            </w:r>
          </w:p>
        </w:tc>
        <w:tc>
          <w:tcPr>
            <w:tcW w:type="dxa" w:w="3312"/>
            <w:tcMar>
              <w:top w:w="60" w:type="dxa"/>
              <w:bottom w:w="60" w:type="dxa"/>
              <w:left w:w="100" w:type="dxa"/>
              <w:right w:w="100" w:type="dxa"/>
            </w:tcMar>
          </w:tcPr>
          <w:p>
            <w:r>
              <w:rPr>
                <w:sz w:val="17"/>
              </w:rPr>
              <w:t>npm.cmd run build</w:t>
            </w:r>
          </w:p>
        </w:tc>
        <w:tc>
          <w:tcPr>
            <w:tcW w:type="dxa" w:w="3312"/>
            <w:tcMar>
              <w:top w:w="60" w:type="dxa"/>
              <w:bottom w:w="60" w:type="dxa"/>
              <w:left w:w="100" w:type="dxa"/>
              <w:right w:w="100" w:type="dxa"/>
            </w:tcMar>
          </w:tcPr>
          <w:p>
            <w:r>
              <w:rPr>
                <w:b/>
                <w:color w:val="2E7D5B"/>
                <w:sz w:val="17"/>
              </w:rPr>
              <w:t>Aprobado</w:t>
            </w:r>
          </w:p>
        </w:tc>
      </w:tr>
    </w:tbl>
    <w:p>
      <w:pPr>
        <w:spacing w:before="200" w:after="80"/>
      </w:pPr>
      <w:r>
        <w:rPr>
          <w:rFonts w:ascii="Arial" w:hAnsi="Arial"/>
          <w:b/>
          <w:color w:val="16333A"/>
          <w:sz w:val="22"/>
        </w:rPr>
        <w:t>7. CERTIFICACIÓN DE CALIDAD Y APROBACIÓN INSTITUCIONAL</w:t>
      </w:r>
    </w:p>
    <w:tbl>
      <w:tblPr>
        <w:tblW w:type="auto" w:w="0"/>
        <w:jc w:val="center"/>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3312"/>
        <w:gridCol w:w="3312"/>
        <w:gridCol w:w="3312"/>
      </w:tblGrid>
      <w:tr>
        <w:tc>
          <w:tcPr>
            <w:tcW w:type="dxa" w:w="3312"/>
            <w:tcMar>
              <w:top w:w="140" w:type="dxa"/>
              <w:bottom w:w="60" w:type="dxa"/>
              <w:left w:w="60" w:type="dxa"/>
              <w:right w:w="60" w:type="dxa"/>
            </w:tcMar>
          </w:tcPr>
          <w:p>
            <w:pPr>
              <w:jc w:val="center"/>
            </w:pPr>
            <w:r>
              <w:rPr>
                <w:color w:val="4A5A63"/>
              </w:rPr>
              <w:t>_______________________________</w:t>
              <w:br/>
            </w:r>
            <w:r>
              <w:rPr>
                <w:rFonts w:ascii="Arial" w:hAnsi="Arial"/>
                <w:b/>
                <w:color w:val="16333A"/>
                <w:sz w:val="17"/>
              </w:rPr>
              <w:t>Rowlis Trinidad</w:t>
              <w:br/>
            </w:r>
            <w:r>
              <w:rPr>
                <w:rFonts w:ascii="Arial" w:hAnsi="Arial"/>
                <w:color w:val="4A5A63"/>
                <w:sz w:val="16"/>
              </w:rPr>
              <w:t>Ingeniero Líder de QA</w:t>
              <w:br/>
            </w:r>
            <w:r>
              <w:rPr>
                <w:rFonts w:ascii="Arial" w:hAnsi="Arial"/>
                <w:color w:val="2E7D5B"/>
                <w:sz w:val="15"/>
              </w:rPr>
              <w:t>Aprobado &amp; Certificado</w:t>
            </w:r>
          </w:p>
        </w:tc>
        <w:tc>
          <w:tcPr>
            <w:tcW w:type="dxa" w:w="3312"/>
            <w:tcMar>
              <w:top w:w="140" w:type="dxa"/>
              <w:bottom w:w="60" w:type="dxa"/>
              <w:left w:w="60" w:type="dxa"/>
              <w:right w:w="60" w:type="dxa"/>
            </w:tcMar>
          </w:tcPr>
          <w:p>
            <w:pPr>
              <w:jc w:val="center"/>
            </w:pPr>
            <w:r>
              <w:rPr>
                <w:color w:val="4A5A63"/>
              </w:rPr>
              <w:t>_______________________________</w:t>
              <w:br/>
            </w:r>
            <w:r>
              <w:rPr>
                <w:rFonts w:ascii="Arial" w:hAnsi="Arial"/>
                <w:b/>
                <w:color w:val="16333A"/>
                <w:sz w:val="17"/>
              </w:rPr>
              <w:t>Equipo de Desarrollo</w:t>
              <w:br/>
            </w:r>
            <w:r>
              <w:rPr>
                <w:rFonts w:ascii="Arial" w:hAnsi="Arial"/>
                <w:color w:val="4A5A63"/>
                <w:sz w:val="16"/>
              </w:rPr>
              <w:t>Arquitectura de Software</w:t>
              <w:br/>
            </w:r>
            <w:r>
              <w:rPr>
                <w:rFonts w:ascii="Arial" w:hAnsi="Arial"/>
                <w:color w:val="2E7D5B"/>
                <w:sz w:val="15"/>
              </w:rPr>
              <w:t>Implementación Completa</w:t>
            </w:r>
          </w:p>
        </w:tc>
        <w:tc>
          <w:tcPr>
            <w:tcW w:type="dxa" w:w="3312"/>
            <w:tcMar>
              <w:top w:w="140" w:type="dxa"/>
              <w:bottom w:w="60" w:type="dxa"/>
              <w:left w:w="60" w:type="dxa"/>
              <w:right w:w="60" w:type="dxa"/>
            </w:tcMar>
          </w:tcPr>
          <w:p>
            <w:pPr>
              <w:jc w:val="center"/>
            </w:pPr>
            <w:r>
              <w:rPr>
                <w:color w:val="4A5A63"/>
              </w:rPr>
              <w:t>_______________________________</w:t>
              <w:br/>
            </w:r>
            <w:r>
              <w:rPr>
                <w:rFonts w:ascii="Arial" w:hAnsi="Arial"/>
                <w:b/>
                <w:color w:val="16333A"/>
                <w:sz w:val="17"/>
              </w:rPr>
              <w:t>Dirección de Operaciones</w:t>
              <w:br/>
            </w:r>
            <w:r>
              <w:rPr>
                <w:rFonts w:ascii="Arial" w:hAnsi="Arial"/>
                <w:color w:val="4A5A63"/>
                <w:sz w:val="16"/>
              </w:rPr>
              <w:t>Revisión y Conformidad</w:t>
              <w:br/>
            </w:r>
            <w:r>
              <w:rPr>
                <w:rFonts w:ascii="Arial" w:hAnsi="Arial"/>
                <w:color w:val="2E7D5B"/>
                <w:sz w:val="15"/>
              </w:rPr>
              <w:t>Visto Bueno Producción</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5A63"/>
        <w:sz w:val="16"/>
      </w:rPr>
      <w:t>INFORME TÉCNICO OFICIAL DE DEFECTO Y RESOLUCIÓN  •  CONFIDENCIAL INSTITUCIONAL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A5A63"/>
        <w:sz w:val="16"/>
      </w:rPr>
      <w:t>SISTEMA FUELTRACK ERP  |  ASEGURAMIENTO DE CALIDAD (QA)  |  DEF-2026-004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