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6333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INFORME TÉCNICO DE NO CONFORMIDAD Y RESOLUCIÓN</w:t>
              <w:br/>
            </w:r>
            <w:r>
              <w:rPr>
                <w:rFonts w:ascii="Arial" w:hAnsi="Arial"/>
                <w:b/>
                <w:color w:val="E29B2E"/>
                <w:sz w:val="22"/>
              </w:rPr>
              <w:t>DEF-2026-006 — Módulo: Recepciones — Alerta de Capacidad en Tanque y Comprobante Digital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DEF-2026-006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Fecha de Cierre: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18/09/2026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Módulo Afectado: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Recepciones de Combustible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Tipo Defecto: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Seguridad Operacional / Control de Inventario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Severidad: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Mayor (Riesgo de sobrellenado físico en tanques y falta de comprobante)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Prioridad: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P1 (Alta)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Estado QA: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2E7D5B"/>
                <w:sz w:val="18"/>
              </w:rPr>
              <w:t>✅ CERRADO / RESUELTO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7F8F6"/>
          </w:tcPr>
          <w:p>
            <w:r>
              <w:rPr>
                <w:rFonts w:ascii="Arial" w:hAnsi="Arial"/>
                <w:b/>
                <w:color w:val="16333A"/>
                <w:sz w:val="18"/>
              </w:rPr>
              <w:t>Auditor Líder: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2181A"/>
                <w:sz w:val="18"/>
              </w:rPr>
              <w:t>Rowlis Trinidad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1. DESCRIPCIÓN Y CONTEXTO DEL DEFECTO</w:t>
      </w:r>
    </w:p>
    <w:p>
      <w:pPr>
        <w:spacing w:line="276" w:lineRule="auto"/>
      </w:pPr>
      <w:r>
        <w:rPr>
          <w:rFonts w:ascii="Arial" w:hAnsi="Arial"/>
          <w:sz w:val="19"/>
        </w:rPr>
        <w:t>El formulario de recepciones de combustible permitía ingresar cualquier volumen recibido sin verificar si el tanque de destino tenía espacio disponible (Capacidad - NivelActual). Adicionalmente, el detalle de recepción se mostraba en una lista plana de textos sin opción de impresión formal.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2. PROCEDIMIENTO DE REPRODUCCIÓN (PASO A PASO)</w:t>
      </w:r>
    </w:p>
    <w:p>
      <w:pPr>
        <w:spacing w:after="40"/>
        <w:ind w:left="288"/>
      </w:pPr>
      <w:r>
        <w:rPr>
          <w:rFonts w:ascii="Arial" w:hAnsi="Arial"/>
          <w:sz w:val="18"/>
        </w:rPr>
        <w:t>1. Seleccionar un tanque con 500 galones disponibles.</w:t>
      </w:r>
    </w:p>
    <w:p>
      <w:pPr>
        <w:spacing w:after="40"/>
        <w:ind w:left="288"/>
      </w:pPr>
      <w:r>
        <w:rPr>
          <w:rFonts w:ascii="Arial" w:hAnsi="Arial"/>
          <w:sz w:val="18"/>
        </w:rPr>
        <w:t>2. Registrar una recepción de 2,000 galones en dicho tanque.</w:t>
      </w:r>
    </w:p>
    <w:p>
      <w:pPr>
        <w:spacing w:after="40"/>
        <w:ind w:left="288"/>
      </w:pPr>
      <w:r>
        <w:rPr>
          <w:rFonts w:ascii="Arial" w:hAnsi="Arial"/>
          <w:sz w:val="18"/>
        </w:rPr>
        <w:t>3. Observar que el formulario no advertía del desbordamiento y registraba la transacción.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3. EVALUACIÓN DE COMPORTAMIENTOS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8D7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721C24"/>
                <w:sz w:val="18"/>
              </w:rPr>
              <w:t>COMPORTAMIENTO ANTERIOR (ERRÓNEO)</w:t>
            </w:r>
          </w:p>
        </w:tc>
        <w:tc>
          <w:tcPr>
            <w:tcW w:type="dxa" w:w="4968"/>
            <w:shd w:fill="D4EDD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55724"/>
                <w:sz w:val="18"/>
              </w:rPr>
              <w:t>COMPORTAMIENTO ESPERADO (CORRECTO)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Registro ciego de volúmenes superiores a la capacidad física del tanque receptor.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- Verificación dinámica de espacio libre con advertencia en rojo y modal estructurado como Comprobante Digital con botón de impresión.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4. ANÁLISIS DE CAUSA RAÍZ (RCA - ROOT CAUSE ANALYSIS)</w:t>
      </w:r>
    </w:p>
    <w:p>
      <w:pPr>
        <w:spacing w:line="276" w:lineRule="auto"/>
      </w:pPr>
      <w:r>
        <w:rPr>
          <w:rFonts w:ascii="Arial" w:hAnsi="Arial"/>
          <w:sz w:val="19"/>
        </w:rPr>
        <w:t>Falta de cálculo comparativo en cliente entre la capacidad del tanque seleccionado y el input numérico de volumen ingresado por el usuario.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5. RESOLUCIÓN TÉCNICA E IMPLEMENTACIÓN</w:t>
      </w:r>
    </w:p>
    <w:p>
      <w:pPr>
        <w:spacing w:after="60"/>
        <w:ind w:left="216"/>
      </w:pPr>
      <w:r>
        <w:rPr>
          <w:rFonts w:ascii="Arial" w:hAnsi="Arial"/>
          <w:b/>
          <w:color w:val="16333A"/>
          <w:sz w:val="18"/>
        </w:rPr>
        <w:t xml:space="preserve">Frontend (RecepcionesPage.jsx): </w:t>
      </w:r>
      <w:r>
        <w:rPr>
          <w:rFonts w:ascii="Arial" w:hAnsi="Arial"/>
          <w:sz w:val="18"/>
        </w:rPr>
        <w:t>Cálculo en vivo de espacio disponible, advertencia de sobrellenado, validación de factura/conduce y rediseño de modal como Comprobante Digital de Recepción imprimible con window.print().</w:t>
      </w:r>
    </w:p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6. MATRIZ DE PRUEBAS Y VALIDACIÓN AUTOMATIZADA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 de Prueba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Comando / Suite Ejecutada</w:t>
            </w:r>
          </w:p>
        </w:tc>
        <w:tc>
          <w:tcPr>
            <w:tcW w:type="dxa" w:w="3312"/>
            <w:shd w:fill="4A5A6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Oficial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Compilación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build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Linter Frontend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npm.cmd run lint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2E7D5B"/>
                <w:sz w:val="17"/>
              </w:rPr>
              <w:t>Aprobado</w:t>
            </w:r>
          </w:p>
        </w:tc>
      </w:tr>
    </w:tbl>
    <w:p>
      <w:pPr>
        <w:spacing w:before="200" w:after="80"/>
      </w:pPr>
      <w:r>
        <w:rPr>
          <w:rFonts w:ascii="Arial" w:hAnsi="Arial"/>
          <w:b/>
          <w:color w:val="16333A"/>
          <w:sz w:val="22"/>
        </w:rPr>
        <w:t>7. CERTIFICACIÓN DE CALIDAD Y APROBACIÓN INSTITUCIONAL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left w:val="none"/>
          <w:right w:val="none"/>
          <w:insideH w:val="single" w:sz="4" w:space="0" w:color="FFFFFF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Rowlis Trinidad</w:t>
              <w:br/>
            </w:r>
            <w:r>
              <w:rPr>
                <w:rFonts w:ascii="Arial" w:hAnsi="Arial"/>
                <w:color w:val="4A5A63"/>
                <w:sz w:val="16"/>
              </w:rPr>
              <w:t>Ingeniero Líder de QA</w:t>
              <w:br/>
            </w:r>
            <w:r>
              <w:rPr>
                <w:rFonts w:ascii="Arial" w:hAnsi="Arial"/>
                <w:color w:val="2E7D5B"/>
                <w:sz w:val="15"/>
              </w:rPr>
              <w:t>Aprobado &amp; Certificado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Equipo de Desarrollo</w:t>
              <w:br/>
            </w:r>
            <w:r>
              <w:rPr>
                <w:rFonts w:ascii="Arial" w:hAnsi="Arial"/>
                <w:color w:val="4A5A63"/>
                <w:sz w:val="16"/>
              </w:rPr>
              <w:t>Arquitectura de Software</w:t>
              <w:br/>
            </w:r>
            <w:r>
              <w:rPr>
                <w:rFonts w:ascii="Arial" w:hAnsi="Arial"/>
                <w:color w:val="2E7D5B"/>
                <w:sz w:val="15"/>
              </w:rPr>
              <w:t>Implementación Completa</w:t>
            </w:r>
          </w:p>
        </w:tc>
        <w:tc>
          <w:tcPr>
            <w:tcW w:type="dxa" w:w="3312"/>
            <w:tcMar>
              <w:top w:w="14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4A5A63"/>
              </w:rPr>
              <w:t>_______________________________</w:t>
              <w:br/>
            </w:r>
            <w:r>
              <w:rPr>
                <w:rFonts w:ascii="Arial" w:hAnsi="Arial"/>
                <w:b/>
                <w:color w:val="16333A"/>
                <w:sz w:val="17"/>
              </w:rPr>
              <w:t>Dirección de Operaciones</w:t>
              <w:br/>
            </w:r>
            <w:r>
              <w:rPr>
                <w:rFonts w:ascii="Arial" w:hAnsi="Arial"/>
                <w:color w:val="4A5A63"/>
                <w:sz w:val="16"/>
              </w:rPr>
              <w:t>Revisión y Conformidad</w:t>
              <w:br/>
            </w:r>
            <w:r>
              <w:rPr>
                <w:rFonts w:ascii="Arial" w:hAnsi="Arial"/>
                <w:color w:val="2E7D5B"/>
                <w:sz w:val="15"/>
              </w:rPr>
              <w:t>Visto Bueno Producción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5A63"/>
        <w:sz w:val="16"/>
      </w:rPr>
      <w:t>INFORME TÉCNICO OFICIAL DE DEFECTO Y RESOLUCIÓN  •  CONFIDENCIAL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A5A63"/>
        <w:sz w:val="16"/>
      </w:rPr>
      <w:t>SISTEMA FUELTRACK ERP  |  ASEGURAMIENTO DE CALIDAD (QA)  |  DEF-2026-006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