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6333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INFORME TÉCNICO DE NO CONFORMIDAD Y RESOLUCIÓN</w:t>
              <w:br/>
            </w:r>
            <w:r>
              <w:rPr>
                <w:rFonts w:ascii="Arial" w:hAnsi="Arial"/>
                <w:b/>
                <w:color w:val="E29B2E"/>
                <w:sz w:val="22"/>
              </w:rPr>
              <w:t>DEF-2026-007 — Módulo: Tanques — Asistente de Nomenclatura y Regla de Nivel Crítico Menor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Código: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DEF-2026-007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Fecha de Cierre: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18/09/2026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Módulo Afectado: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Tanques Estacionarios &amp; Almacenamiento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Tipo Defecto: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Integridad de Datos / Reglas de Negocio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Severidad: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Media (Inconsistencia en identificadores y alertas de inventario desactivadas)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Prioridad: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P2 (Media)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Estado QA: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E7D5B"/>
                <w:sz w:val="18"/>
              </w:rPr>
              <w:t>✅ CERRADO / RESUELTO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Auditor Líder: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Rowlis Trinidad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1. DESCRIPCIÓN Y CONTEXTO DEL DEFECTO</w:t>
      </w:r>
    </w:p>
    <w:p>
      <w:pPr>
        <w:spacing w:line="276" w:lineRule="auto"/>
      </w:pPr>
      <w:r>
        <w:rPr>
          <w:rFonts w:ascii="Arial" w:hAnsi="Arial"/>
          <w:sz w:val="19"/>
        </w:rPr>
        <w:t>Se permitía registrar tanques con códigos arbitrarios sin estándar unificado y con un nivel crítico igual o mayor que la capacidad máxima del tanque, lo que provocaba que el sistema generara alertas falsas permanentes de combustible crítico.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2. PROCEDIMIENTO DE REPRODUCCIÓN (PASO A PASO)</w:t>
      </w:r>
    </w:p>
    <w:p>
      <w:pPr>
        <w:spacing w:after="40"/>
        <w:ind w:left="288"/>
      </w:pPr>
      <w:r>
        <w:rPr>
          <w:rFonts w:ascii="Arial" w:hAnsi="Arial"/>
          <w:sz w:val="18"/>
        </w:rPr>
        <w:t>1. En Tanques, presionar '+ Nuevo tanque'.</w:t>
      </w:r>
    </w:p>
    <w:p>
      <w:pPr>
        <w:spacing w:after="40"/>
        <w:ind w:left="288"/>
      </w:pPr>
      <w:r>
        <w:rPr>
          <w:rFonts w:ascii="Arial" w:hAnsi="Arial"/>
          <w:sz w:val="18"/>
        </w:rPr>
        <w:t>2. Ingresar capacidad de 1,000 galones y nivel crítico de 1,500 galones.</w:t>
      </w:r>
    </w:p>
    <w:p>
      <w:pPr>
        <w:spacing w:after="40"/>
        <w:ind w:left="288"/>
      </w:pPr>
      <w:r>
        <w:rPr>
          <w:rFonts w:ascii="Arial" w:hAnsi="Arial"/>
          <w:sz w:val="18"/>
        </w:rPr>
        <w:t>3. Enviar el formulario y verificar la ausencia de bloqueo.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3. EVALUACIÓN DE COMPORTAMIENTOS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8D7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721C24"/>
                <w:sz w:val="18"/>
              </w:rPr>
              <w:t>COMPORTAMIENTO ANTERIOR (ERRÓNEO)</w:t>
            </w:r>
          </w:p>
        </w:tc>
        <w:tc>
          <w:tcPr>
            <w:tcW w:type="dxa" w:w="4968"/>
            <w:shd w:fill="D4ED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55724"/>
                <w:sz w:val="18"/>
              </w:rPr>
              <w:t>COMPORTAMIENTO ESPERADO (CORRECTO)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Tanque guardado con nivel crítico absurdo superior a la capacidad total.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Bloqueo inmediato del formulario indicando que el nivel crítico debe ser estrictamente menor a la capacidad total, y botón de autogeneración de código.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4. ANÁLISIS DE CAUSA RAÍZ (RCA - ROOT CAUSE ANALYSIS)</w:t>
      </w:r>
    </w:p>
    <w:p>
      <w:pPr>
        <w:spacing w:line="276" w:lineRule="auto"/>
      </w:pPr>
      <w:r>
        <w:rPr>
          <w:rFonts w:ascii="Arial" w:hAnsi="Arial"/>
          <w:sz w:val="19"/>
        </w:rPr>
        <w:t>Validación aislada de campos numéricos sin regla relacional entre nivel crítico y capacidad.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5. RESOLUCIÓN TÉCNICA E IMPLEMENTACIÓN</w:t>
      </w:r>
    </w:p>
    <w:p>
      <w:pPr>
        <w:spacing w:after="60"/>
        <w:ind w:left="216"/>
      </w:pPr>
      <w:r>
        <w:rPr>
          <w:rFonts w:ascii="Arial" w:hAnsi="Arial"/>
          <w:b/>
          <w:color w:val="16333A"/>
          <w:sz w:val="18"/>
        </w:rPr>
        <w:t xml:space="preserve">Frontend (TanquesPage.jsx &amp; validators.js): </w:t>
      </w:r>
      <w:r>
        <w:rPr>
          <w:rFonts w:ascii="Arial" w:hAnsi="Arial"/>
          <w:sz w:val="18"/>
        </w:rPr>
        <w:t>Implementación de validateNivelCriticoTanque(critico, capacidad), botón 'Autogenerar' para códigos TNQ-[TIPO]-[01] y barra visual de capacidad.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6. MATRIZ DE PRUEBAS Y VALIDACIÓN AUTOMATIZADA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Tipo de Prueba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Comando / Suite Ejecutada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Resultado Oficial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Compilación Frontend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npm.cmd run build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Linter Frontend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npm.cmd run lint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7. CERTIFICACIÓN DE CALIDAD Y APROBACIÓN INSTITUCIONAL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Rowlis Trinidad</w:t>
              <w:br/>
            </w:r>
            <w:r>
              <w:rPr>
                <w:rFonts w:ascii="Arial" w:hAnsi="Arial"/>
                <w:color w:val="4A5A63"/>
                <w:sz w:val="16"/>
              </w:rPr>
              <w:t>Ingeniero Líder de QA</w:t>
              <w:br/>
            </w:r>
            <w:r>
              <w:rPr>
                <w:rFonts w:ascii="Arial" w:hAnsi="Arial"/>
                <w:color w:val="2E7D5B"/>
                <w:sz w:val="15"/>
              </w:rPr>
              <w:t>Aprobado &amp; Certificado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Equipo de Desarrollo</w:t>
              <w:br/>
            </w:r>
            <w:r>
              <w:rPr>
                <w:rFonts w:ascii="Arial" w:hAnsi="Arial"/>
                <w:color w:val="4A5A63"/>
                <w:sz w:val="16"/>
              </w:rPr>
              <w:t>Arquitectura de Software</w:t>
              <w:br/>
            </w:r>
            <w:r>
              <w:rPr>
                <w:rFonts w:ascii="Arial" w:hAnsi="Arial"/>
                <w:color w:val="2E7D5B"/>
                <w:sz w:val="15"/>
              </w:rPr>
              <w:t>Implementación Completa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Dirección de Operaciones</w:t>
              <w:br/>
            </w:r>
            <w:r>
              <w:rPr>
                <w:rFonts w:ascii="Arial" w:hAnsi="Arial"/>
                <w:color w:val="4A5A63"/>
                <w:sz w:val="16"/>
              </w:rPr>
              <w:t>Revisión y Conformidad</w:t>
              <w:br/>
            </w:r>
            <w:r>
              <w:rPr>
                <w:rFonts w:ascii="Arial" w:hAnsi="Arial"/>
                <w:color w:val="2E7D5B"/>
                <w:sz w:val="15"/>
              </w:rPr>
              <w:t>Visto Bueno Producción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5A63"/>
        <w:sz w:val="16"/>
      </w:rPr>
      <w:t>INFORME TÉCNICO OFICIAL DE DEFECTO Y RESOLUCIÓN  •  CONFIDENCIAL INSTITUCIONAL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A5A63"/>
        <w:sz w:val="16"/>
      </w:rPr>
      <w:t>SISTEMA FUELTRACK ERP  |  ASEGURAMIENTO DE CALIDAD (QA)  |  DEF-2026-007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